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79377F04"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 xml:space="preserve">INDAGINE FINALIZZATA ALL’ESPLETAMENTO DI UNA PROCEDURA SELETTIVA PER L’AFFIDAMENTO DELL’INCARICO DI </w:t>
      </w:r>
      <w:bookmarkStart w:id="0" w:name="_GoBack"/>
      <w:bookmarkEnd w:id="0"/>
      <w:r w:rsidR="006A64B6" w:rsidRPr="006A64B6">
        <w:rPr>
          <w:rFonts w:ascii="Times New Roman" w:hAnsi="Times New Roman"/>
          <w:b/>
          <w:bCs/>
          <w:szCs w:val="22"/>
        </w:rPr>
        <w:t>ASSISTENZA LEGALE IN MATERIA DI AIUTI DI STATO.</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72717F">
        <w:rPr>
          <w:rFonts w:ascii="Times New Roman" w:hAnsi="Times New Roman"/>
          <w:color w:val="000000"/>
          <w:spacing w:val="-2"/>
          <w:szCs w:val="22"/>
        </w:rPr>
        <w:lastRenderedPageBreak/>
        <w:t xml:space="preserve">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5B64" w14:textId="77777777" w:rsidR="0091751C" w:rsidRDefault="0091751C">
      <w:r>
        <w:separator/>
      </w:r>
    </w:p>
  </w:endnote>
  <w:endnote w:type="continuationSeparator" w:id="0">
    <w:p w14:paraId="20D2EA4C" w14:textId="77777777" w:rsidR="0091751C" w:rsidRDefault="0091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61D3" w14:textId="77777777" w:rsidR="0091751C" w:rsidRDefault="0091751C">
      <w:r>
        <w:separator/>
      </w:r>
    </w:p>
  </w:footnote>
  <w:footnote w:type="continuationSeparator" w:id="0">
    <w:p w14:paraId="740A7AD7" w14:textId="77777777" w:rsidR="0091751C" w:rsidRDefault="0091751C">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4B6"/>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192A"/>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1773</Words>
  <Characters>11165</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Giampaolo</cp:lastModifiedBy>
  <cp:revision>5</cp:revision>
  <cp:lastPrinted>2015-02-16T11:31:00Z</cp:lastPrinted>
  <dcterms:created xsi:type="dcterms:W3CDTF">2020-02-04T11:29:00Z</dcterms:created>
  <dcterms:modified xsi:type="dcterms:W3CDTF">2020-03-24T14:26:00Z</dcterms:modified>
</cp:coreProperties>
</file>