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1CC18" w14:textId="77777777" w:rsidR="008973A3" w:rsidRDefault="008973A3" w:rsidP="00E74404">
      <w:pPr>
        <w:pStyle w:val="Titolo2"/>
        <w:rPr>
          <w:rFonts w:eastAsia="Calibri"/>
        </w:rPr>
      </w:pPr>
    </w:p>
    <w:p w14:paraId="039F9767" w14:textId="282B24AD" w:rsidR="008973A3" w:rsidRPr="002E1E9D" w:rsidRDefault="007F7710">
      <w:pPr>
        <w:jc w:val="center"/>
        <w:rPr>
          <w:rFonts w:ascii="Calibri" w:eastAsia="Calibri" w:hAnsi="Calibri" w:cs="Calibri"/>
          <w:sz w:val="28"/>
          <w:szCs w:val="28"/>
        </w:rPr>
      </w:pPr>
      <w:r w:rsidRPr="002E1E9D">
        <w:rPr>
          <w:rFonts w:ascii="Calibri" w:eastAsia="Calibri" w:hAnsi="Calibri" w:cs="Calibri"/>
          <w:sz w:val="28"/>
          <w:szCs w:val="28"/>
        </w:rPr>
        <w:t xml:space="preserve">Il manifatturiero </w:t>
      </w:r>
      <w:r w:rsidR="00455F20">
        <w:rPr>
          <w:rFonts w:ascii="Calibri" w:eastAsia="Calibri" w:hAnsi="Calibri" w:cs="Calibri"/>
          <w:sz w:val="28"/>
          <w:szCs w:val="28"/>
        </w:rPr>
        <w:t xml:space="preserve">veneto </w:t>
      </w:r>
      <w:r w:rsidRPr="002E1E9D">
        <w:rPr>
          <w:rFonts w:ascii="Calibri" w:eastAsia="Calibri" w:hAnsi="Calibri" w:cs="Calibri"/>
          <w:sz w:val="28"/>
          <w:szCs w:val="28"/>
        </w:rPr>
        <w:t xml:space="preserve">nel </w:t>
      </w:r>
      <w:r w:rsidR="00E33364" w:rsidRPr="002E1E9D">
        <w:rPr>
          <w:rFonts w:ascii="Calibri" w:eastAsia="Calibri" w:hAnsi="Calibri" w:cs="Calibri"/>
          <w:sz w:val="28"/>
          <w:szCs w:val="28"/>
        </w:rPr>
        <w:t xml:space="preserve">quarto </w:t>
      </w:r>
      <w:r w:rsidRPr="002E1E9D">
        <w:rPr>
          <w:rFonts w:ascii="Calibri" w:eastAsia="Calibri" w:hAnsi="Calibri" w:cs="Calibri"/>
          <w:sz w:val="28"/>
          <w:szCs w:val="28"/>
        </w:rPr>
        <w:t>trimestre 2025</w:t>
      </w:r>
    </w:p>
    <w:p w14:paraId="1C80065D" w14:textId="6473EDC4" w:rsidR="008973A3" w:rsidRPr="002E1E9D" w:rsidRDefault="0047494A">
      <w:pPr>
        <w:jc w:val="center"/>
        <w:rPr>
          <w:rFonts w:ascii="Calibri" w:eastAsia="Calibri" w:hAnsi="Calibri" w:cs="Calibri"/>
          <w:b/>
          <w:sz w:val="26"/>
          <w:szCs w:val="26"/>
        </w:rPr>
      </w:pPr>
      <w:r w:rsidRPr="002E1E9D">
        <w:rPr>
          <w:rFonts w:ascii="Calibri" w:eastAsia="Calibri" w:hAnsi="Calibri" w:cs="Calibri"/>
          <w:b/>
          <w:sz w:val="26"/>
          <w:szCs w:val="26"/>
        </w:rPr>
        <w:t>NONOSTANTE I DAZI, ORDINATIVI ESTERI IN RECUPERO</w:t>
      </w:r>
    </w:p>
    <w:p w14:paraId="781E8A17" w14:textId="3FFCB5F5" w:rsidR="008973A3" w:rsidRPr="002E1E9D" w:rsidRDefault="00DB7256" w:rsidP="00DB7256">
      <w:pPr>
        <w:jc w:val="center"/>
        <w:rPr>
          <w:rFonts w:ascii="Calibri" w:eastAsia="Calibri" w:hAnsi="Calibri" w:cs="Calibri"/>
        </w:rPr>
      </w:pPr>
      <w:r w:rsidRPr="00DB7256">
        <w:rPr>
          <w:rFonts w:ascii="Calibri" w:eastAsia="Calibri" w:hAnsi="Calibri" w:cs="Calibri"/>
          <w:i/>
          <w:sz w:val="22"/>
          <w:szCs w:val="22"/>
        </w:rPr>
        <w:t>Ma in risposta alla crisi dell’ordine globale serv</w:t>
      </w:r>
      <w:r w:rsidR="00455F20">
        <w:rPr>
          <w:rFonts w:ascii="Calibri" w:eastAsia="Calibri" w:hAnsi="Calibri" w:cs="Calibri"/>
          <w:i/>
          <w:sz w:val="22"/>
          <w:szCs w:val="22"/>
        </w:rPr>
        <w:t xml:space="preserve">ono iniziative politiche a livello europeo che favoriscano gli </w:t>
      </w:r>
      <w:r w:rsidRPr="00DB7256">
        <w:rPr>
          <w:rFonts w:ascii="Calibri" w:eastAsia="Calibri" w:hAnsi="Calibri" w:cs="Calibri"/>
          <w:i/>
          <w:sz w:val="22"/>
          <w:szCs w:val="22"/>
        </w:rPr>
        <w:t xml:space="preserve">investimenti delle imprese e le loro strategie di diversificazione. Fondamentali, in questa cornice, gli strumenti formativi, finanziari, di accompagnamento che il sistema camerale regionale mette a disposizione </w:t>
      </w:r>
      <w:r w:rsidR="00455F20">
        <w:rPr>
          <w:rFonts w:ascii="Calibri" w:eastAsia="Calibri" w:hAnsi="Calibri" w:cs="Calibri"/>
          <w:i/>
          <w:sz w:val="22"/>
          <w:szCs w:val="22"/>
        </w:rPr>
        <w:t>per la crescita dei sistemi economici locali</w:t>
      </w:r>
    </w:p>
    <w:p w14:paraId="1C494DDF" w14:textId="77777777" w:rsidR="00A86157" w:rsidRPr="00750E48" w:rsidRDefault="00A86157">
      <w:pPr>
        <w:rPr>
          <w:rFonts w:ascii="Calibri" w:eastAsia="Calibri" w:hAnsi="Calibri" w:cs="Calibri"/>
          <w:highlight w:val="yellow"/>
        </w:rPr>
      </w:pPr>
    </w:p>
    <w:p w14:paraId="401C69D8" w14:textId="56E0C89D" w:rsidR="00E74404" w:rsidRPr="00E33364" w:rsidRDefault="007F7710" w:rsidP="00E74404">
      <w:pPr>
        <w:spacing w:before="240" w:after="120"/>
        <w:rPr>
          <w:rFonts w:ascii="Calibri" w:eastAsia="Calibri" w:hAnsi="Calibri" w:cs="Calibri"/>
          <w:b/>
        </w:rPr>
      </w:pPr>
      <w:r w:rsidRPr="00E33364">
        <w:rPr>
          <w:rFonts w:ascii="Calibri" w:eastAsia="Calibri" w:hAnsi="Calibri" w:cs="Calibri"/>
          <w:b/>
        </w:rPr>
        <w:t>Il quadro internazionale e nazionale</w:t>
      </w:r>
    </w:p>
    <w:p w14:paraId="0E0C452C" w14:textId="5E03269D" w:rsidR="00750E48" w:rsidRPr="00750E48" w:rsidRDefault="00750E48" w:rsidP="00750E48">
      <w:pPr>
        <w:spacing w:before="120" w:after="120"/>
        <w:jc w:val="both"/>
        <w:rPr>
          <w:rFonts w:ascii="Calibri" w:eastAsia="Calibri" w:hAnsi="Calibri" w:cs="Calibri"/>
        </w:rPr>
      </w:pPr>
      <w:r w:rsidRPr="00750E48">
        <w:rPr>
          <w:rFonts w:ascii="Calibri" w:eastAsia="Calibri" w:hAnsi="Calibri" w:cs="Calibri"/>
        </w:rPr>
        <w:t xml:space="preserve">La geopolitica, da alcuni anni, sta condizionando in modo sempre più pervasivo gli scenari economici internazionali. La guerra in Ucraina, come si ricorderà, ha generato immediati effetti, soprattutto in Europa, sulle forniture energetiche; gli attacchi degli Houthi alle rotte commerciali nel Mar Rosso, in risposta al conflitto a Gaza, hanno esposto ad ulteriore incertezza le catene globali del valore, dopo quanto successo con la pandemia. Nel 2025 lo shock principale ha riguardato l’introduzione dei dazi sulle importazioni USA, con l’ormai noto e paradossale “anticipo di domanda”, nelle fasi preliminari alla loro applicazione: fenomeno che, saturando i magazzini americani, sta ora convertendosi in politiche di </w:t>
      </w:r>
      <w:r w:rsidRPr="005C6A72">
        <w:rPr>
          <w:rFonts w:ascii="Calibri" w:eastAsia="Calibri" w:hAnsi="Calibri" w:cs="Calibri"/>
          <w:i/>
          <w:iCs/>
        </w:rPr>
        <w:t>destoccaggio</w:t>
      </w:r>
      <w:r w:rsidR="003D4312">
        <w:rPr>
          <w:rFonts w:ascii="Calibri" w:eastAsia="Calibri" w:hAnsi="Calibri" w:cs="Calibri"/>
        </w:rPr>
        <w:t xml:space="preserve"> degli importatori</w:t>
      </w:r>
      <w:r w:rsidRPr="00750E48">
        <w:rPr>
          <w:rFonts w:ascii="Calibri" w:eastAsia="Calibri" w:hAnsi="Calibri" w:cs="Calibri"/>
        </w:rPr>
        <w:t>, con effetti di segno opposto sulla domanda mondiale. Completa</w:t>
      </w:r>
      <w:r w:rsidR="003D4312">
        <w:rPr>
          <w:rFonts w:ascii="Calibri" w:eastAsia="Calibri" w:hAnsi="Calibri" w:cs="Calibri"/>
        </w:rPr>
        <w:t>no</w:t>
      </w:r>
      <w:r w:rsidRPr="00750E48">
        <w:rPr>
          <w:rFonts w:ascii="Calibri" w:eastAsia="Calibri" w:hAnsi="Calibri" w:cs="Calibri"/>
        </w:rPr>
        <w:t xml:space="preserve"> il quadro il latente conflitto Cina-Taiwan, i focolai di crisi in Venezuela e Iran, sino alle pretese di annessione della Groenlandia da parte di Trump.</w:t>
      </w:r>
    </w:p>
    <w:p w14:paraId="07C65F16" w14:textId="77777777" w:rsidR="00750E48" w:rsidRPr="00750E48" w:rsidRDefault="00750E48" w:rsidP="00750E48">
      <w:pPr>
        <w:spacing w:before="120" w:after="120"/>
        <w:jc w:val="both"/>
        <w:rPr>
          <w:rFonts w:ascii="Calibri" w:eastAsia="Calibri" w:hAnsi="Calibri" w:cs="Calibri"/>
        </w:rPr>
      </w:pPr>
      <w:r w:rsidRPr="00750E48">
        <w:rPr>
          <w:rFonts w:ascii="Calibri" w:eastAsia="Calibri" w:hAnsi="Calibri" w:cs="Calibri"/>
        </w:rPr>
        <w:t>Con la sua consueta lucidità Mario Draghi, in occasione del ricevimento del dottorato honoris causa consegnato dall’Università di Lovanio (Belgio), ha ben riassunto la situazione, senza mezzi termini: “</w:t>
      </w:r>
      <w:r w:rsidRPr="006C1259">
        <w:rPr>
          <w:rFonts w:ascii="Calibri" w:eastAsia="Calibri" w:hAnsi="Calibri" w:cs="Calibri"/>
          <w:i/>
          <w:iCs/>
        </w:rPr>
        <w:t>l’ordine globale è defunto</w:t>
      </w:r>
      <w:r w:rsidRPr="00750E48">
        <w:rPr>
          <w:rFonts w:ascii="Calibri" w:eastAsia="Calibri" w:hAnsi="Calibri" w:cs="Calibri"/>
        </w:rPr>
        <w:t>”, per come finora lo abbiamo conosciuto. La Casa Bianca, in questo momento politico, “</w:t>
      </w:r>
      <w:r w:rsidRPr="006C1259">
        <w:rPr>
          <w:rFonts w:ascii="Calibri" w:eastAsia="Calibri" w:hAnsi="Calibri" w:cs="Calibri"/>
          <w:i/>
          <w:iCs/>
        </w:rPr>
        <w:t>imponendo dazi all’Europa minaccia i nostri interessi territoriali e considera, per la prima volta, la frammentazione politica europea funzionale ai propri interessi”</w:t>
      </w:r>
      <w:r w:rsidRPr="00750E48">
        <w:rPr>
          <w:rFonts w:ascii="Calibri" w:eastAsia="Calibri" w:hAnsi="Calibri" w:cs="Calibri"/>
        </w:rPr>
        <w:t>. Dall’altro versante del mondo “</w:t>
      </w:r>
      <w:r w:rsidRPr="006C1259">
        <w:rPr>
          <w:rFonts w:ascii="Calibri" w:eastAsia="Calibri" w:hAnsi="Calibri" w:cs="Calibri"/>
          <w:i/>
          <w:iCs/>
        </w:rPr>
        <w:t>ci troviamo di fronte a una Cina che controlla nodi critici delle catene di approvvigionamento globali ed è disposta a sfruttare tale leva: inondando i mercati</w:t>
      </w:r>
      <w:r w:rsidRPr="00750E48">
        <w:rPr>
          <w:rFonts w:ascii="Calibri" w:eastAsia="Calibri" w:hAnsi="Calibri" w:cs="Calibri"/>
        </w:rPr>
        <w:t xml:space="preserve"> (di suoi prodotti), </w:t>
      </w:r>
      <w:r w:rsidRPr="006C1259">
        <w:rPr>
          <w:rFonts w:ascii="Calibri" w:eastAsia="Calibri" w:hAnsi="Calibri" w:cs="Calibri"/>
          <w:i/>
          <w:iCs/>
        </w:rPr>
        <w:t>trattenendo input critici, costringendo gli altri a sostenere il costo dei propri squilibri</w:t>
      </w:r>
      <w:r w:rsidRPr="00750E48">
        <w:rPr>
          <w:rFonts w:ascii="Calibri" w:eastAsia="Calibri" w:hAnsi="Calibri" w:cs="Calibri"/>
        </w:rPr>
        <w:t>”.</w:t>
      </w:r>
    </w:p>
    <w:p w14:paraId="603A8803" w14:textId="5D20428B" w:rsidR="00750E48" w:rsidRPr="00750E48" w:rsidRDefault="004F36D3" w:rsidP="00750E48">
      <w:pPr>
        <w:spacing w:before="120" w:after="120"/>
        <w:jc w:val="both"/>
        <w:rPr>
          <w:rFonts w:ascii="Calibri" w:eastAsia="Calibri" w:hAnsi="Calibri" w:cs="Calibri"/>
        </w:rPr>
      </w:pPr>
      <w:r>
        <w:rPr>
          <w:rFonts w:ascii="Calibri" w:eastAsia="Calibri" w:hAnsi="Calibri" w:cs="Calibri"/>
        </w:rPr>
        <w:t>Ad analisi chiara, appello altrettanto chiaro</w:t>
      </w:r>
      <w:r w:rsidR="00750E48" w:rsidRPr="00750E48">
        <w:rPr>
          <w:rFonts w:ascii="Calibri" w:eastAsia="Calibri" w:hAnsi="Calibri" w:cs="Calibri"/>
        </w:rPr>
        <w:t xml:space="preserve">. Se questi sono i fattori che condizionano gli scenari economici internazionali, allora </w:t>
      </w:r>
      <w:r w:rsidR="003D4312">
        <w:rPr>
          <w:rFonts w:ascii="Calibri" w:eastAsia="Calibri" w:hAnsi="Calibri" w:cs="Calibri"/>
        </w:rPr>
        <w:t>-</w:t>
      </w:r>
      <w:r>
        <w:rPr>
          <w:rFonts w:ascii="Calibri" w:eastAsia="Calibri" w:hAnsi="Calibri" w:cs="Calibri"/>
        </w:rPr>
        <w:t xml:space="preserve"> ha detto Draghi - </w:t>
      </w:r>
      <w:r w:rsidR="00750E48" w:rsidRPr="00750E48">
        <w:rPr>
          <w:rFonts w:ascii="Calibri" w:eastAsia="Calibri" w:hAnsi="Calibri" w:cs="Calibri"/>
        </w:rPr>
        <w:t>l’Europa “</w:t>
      </w:r>
      <w:r w:rsidR="00750E48" w:rsidRPr="006C1259">
        <w:rPr>
          <w:rFonts w:ascii="Calibri" w:eastAsia="Calibri" w:hAnsi="Calibri" w:cs="Calibri"/>
          <w:i/>
          <w:iCs/>
        </w:rPr>
        <w:t>deve decidere se rimanere un grande mercato ma soggetto alle priorità degli altri</w:t>
      </w:r>
      <w:r w:rsidR="00750E48" w:rsidRPr="00750E48">
        <w:rPr>
          <w:rFonts w:ascii="Calibri" w:eastAsia="Calibri" w:hAnsi="Calibri" w:cs="Calibri"/>
        </w:rPr>
        <w:t>” o diventare una “</w:t>
      </w:r>
      <w:r w:rsidR="00750E48" w:rsidRPr="006C1259">
        <w:rPr>
          <w:rFonts w:ascii="Calibri" w:eastAsia="Calibri" w:hAnsi="Calibri" w:cs="Calibri"/>
          <w:i/>
          <w:iCs/>
        </w:rPr>
        <w:t>potenza</w:t>
      </w:r>
      <w:r w:rsidR="00750E48" w:rsidRPr="00750E48">
        <w:rPr>
          <w:rFonts w:ascii="Calibri" w:eastAsia="Calibri" w:hAnsi="Calibri" w:cs="Calibri"/>
        </w:rPr>
        <w:t>”, un soggetto che torna a fare politica.</w:t>
      </w:r>
    </w:p>
    <w:p w14:paraId="6D9B8E98" w14:textId="213969CE" w:rsidR="00901B76" w:rsidRDefault="00750E48" w:rsidP="00750E48">
      <w:pPr>
        <w:spacing w:before="120" w:after="120"/>
        <w:jc w:val="both"/>
        <w:rPr>
          <w:rFonts w:ascii="Calibri" w:eastAsia="Calibri" w:hAnsi="Calibri" w:cs="Calibri"/>
        </w:rPr>
      </w:pPr>
      <w:r w:rsidRPr="00750E48">
        <w:rPr>
          <w:rFonts w:ascii="Calibri" w:eastAsia="Calibri" w:hAnsi="Calibri" w:cs="Calibri"/>
        </w:rPr>
        <w:t xml:space="preserve">Gli Accordi commerciali siglati di recente dall’Ue con Mercosur e India andrebbero proprio in questa direzione, intesi proprio nelle loro finalità strategiche – come ancora </w:t>
      </w:r>
      <w:r w:rsidRPr="00750E48">
        <w:rPr>
          <w:rFonts w:ascii="Calibri" w:eastAsia="Calibri" w:hAnsi="Calibri" w:cs="Calibri"/>
        </w:rPr>
        <w:lastRenderedPageBreak/>
        <w:t>ha sottolineato Draghi – e non solo in funzione di un potenziale di crescita degli scambi. Il mondo è più ampio degli USA, il cui peso sull’interscambio globale è attorno al 1</w:t>
      </w:r>
      <w:r w:rsidR="00901B76">
        <w:rPr>
          <w:rFonts w:ascii="Calibri" w:eastAsia="Calibri" w:hAnsi="Calibri" w:cs="Calibri"/>
        </w:rPr>
        <w:t>7</w:t>
      </w:r>
      <w:r w:rsidRPr="00750E48">
        <w:rPr>
          <w:rFonts w:ascii="Calibri" w:eastAsia="Calibri" w:hAnsi="Calibri" w:cs="Calibri"/>
        </w:rPr>
        <w:t xml:space="preserve">%. Peraltro, nell’ultimo </w:t>
      </w:r>
      <w:r w:rsidR="004F36D3">
        <w:rPr>
          <w:rFonts w:ascii="Calibri" w:eastAsia="Calibri" w:hAnsi="Calibri" w:cs="Calibri"/>
        </w:rPr>
        <w:t>O</w:t>
      </w:r>
      <w:r w:rsidRPr="00750E48">
        <w:rPr>
          <w:rFonts w:ascii="Calibri" w:eastAsia="Calibri" w:hAnsi="Calibri" w:cs="Calibri"/>
        </w:rPr>
        <w:t xml:space="preserve">utlook </w:t>
      </w:r>
      <w:r w:rsidR="00901B76">
        <w:rPr>
          <w:rFonts w:ascii="Calibri" w:eastAsia="Calibri" w:hAnsi="Calibri" w:cs="Calibri"/>
        </w:rPr>
        <w:t xml:space="preserve">di gennaio del FMI, sono state riviste al rialzo (rispetto all’Outlook di ottobre) le stime sulla crescita del </w:t>
      </w:r>
      <w:r w:rsidRPr="00750E48">
        <w:rPr>
          <w:rFonts w:ascii="Calibri" w:eastAsia="Calibri" w:hAnsi="Calibri" w:cs="Calibri"/>
        </w:rPr>
        <w:t>commercio mondiale</w:t>
      </w:r>
      <w:r w:rsidR="00901B76">
        <w:rPr>
          <w:rFonts w:ascii="Calibri" w:eastAsia="Calibri" w:hAnsi="Calibri" w:cs="Calibri"/>
        </w:rPr>
        <w:t>: sia per il 2025 (dal +3,6% al +4,1%) che per il 2026 (il ridimensionamento atteso passerebbe dal +2,3% al +2,6%)</w:t>
      </w:r>
      <w:r w:rsidR="001C5CF8">
        <w:rPr>
          <w:rFonts w:ascii="Calibri" w:eastAsia="Calibri" w:hAnsi="Calibri" w:cs="Calibri"/>
        </w:rPr>
        <w:t>. C</w:t>
      </w:r>
      <w:r w:rsidR="00901B76">
        <w:rPr>
          <w:rFonts w:ascii="Calibri" w:eastAsia="Calibri" w:hAnsi="Calibri" w:cs="Calibri"/>
        </w:rPr>
        <w:t>on una previsione di risalita al +3,1% per il 2027.</w:t>
      </w:r>
    </w:p>
    <w:p w14:paraId="4080BDB2" w14:textId="754DE5FC" w:rsidR="00750E48" w:rsidRPr="00750E48" w:rsidRDefault="001C5CF8" w:rsidP="00750E48">
      <w:pPr>
        <w:spacing w:before="120" w:after="120"/>
        <w:jc w:val="both"/>
        <w:rPr>
          <w:rFonts w:ascii="Calibri" w:eastAsia="Calibri" w:hAnsi="Calibri" w:cs="Calibri"/>
        </w:rPr>
      </w:pPr>
      <w:r>
        <w:rPr>
          <w:rFonts w:ascii="Calibri" w:eastAsia="Calibri" w:hAnsi="Calibri" w:cs="Calibri"/>
        </w:rPr>
        <w:t>Ai lati del muro alzato dalle guerre tariffarie, esiste dunque una diversificata mappa di opportunità (e, come sempre, di rischi), che è quanto mai opportuno esplorare. In questa prospettiva si posizionano gli Accordi commerciali, volti a consolidare, facilitare</w:t>
      </w:r>
      <w:r w:rsidR="00C04B7A">
        <w:rPr>
          <w:rFonts w:ascii="Calibri" w:eastAsia="Calibri" w:hAnsi="Calibri" w:cs="Calibri"/>
        </w:rPr>
        <w:t xml:space="preserve"> e </w:t>
      </w:r>
      <w:r>
        <w:rPr>
          <w:rFonts w:ascii="Calibri" w:eastAsia="Calibri" w:hAnsi="Calibri" w:cs="Calibri"/>
        </w:rPr>
        <w:t>regolamentare</w:t>
      </w:r>
      <w:r w:rsidR="00C04B7A">
        <w:rPr>
          <w:rFonts w:ascii="Calibri" w:eastAsia="Calibri" w:hAnsi="Calibri" w:cs="Calibri"/>
        </w:rPr>
        <w:t xml:space="preserve"> </w:t>
      </w:r>
      <w:r w:rsidR="00750E48" w:rsidRPr="00750E48">
        <w:rPr>
          <w:rFonts w:ascii="Calibri" w:eastAsia="Calibri" w:hAnsi="Calibri" w:cs="Calibri"/>
        </w:rPr>
        <w:t xml:space="preserve">relazioni strategiche fra </w:t>
      </w:r>
      <w:r>
        <w:rPr>
          <w:rFonts w:ascii="Calibri" w:eastAsia="Calibri" w:hAnsi="Calibri" w:cs="Calibri"/>
        </w:rPr>
        <w:t xml:space="preserve">diverse </w:t>
      </w:r>
      <w:r w:rsidR="00750E48" w:rsidRPr="00750E48">
        <w:rPr>
          <w:rFonts w:ascii="Calibri" w:eastAsia="Calibri" w:hAnsi="Calibri" w:cs="Calibri"/>
        </w:rPr>
        <w:t xml:space="preserve">aree del mondo. Ma è apparso evidente </w:t>
      </w:r>
      <w:r w:rsidR="005C6A72">
        <w:rPr>
          <w:rFonts w:ascii="Calibri" w:eastAsia="Calibri" w:hAnsi="Calibri" w:cs="Calibri"/>
        </w:rPr>
        <w:t>-</w:t>
      </w:r>
      <w:r w:rsidR="00750E48" w:rsidRPr="00750E48">
        <w:rPr>
          <w:rFonts w:ascii="Calibri" w:eastAsia="Calibri" w:hAnsi="Calibri" w:cs="Calibri"/>
        </w:rPr>
        <w:t xml:space="preserve"> almeno per l’Accordo col Mercosur - come questo tipo di risposta “politica” ai dazi USA non sia stata accolta in modo lineare da alcuni gruppi di interesse.</w:t>
      </w:r>
    </w:p>
    <w:p w14:paraId="25FA3101" w14:textId="77777777" w:rsidR="00750E48" w:rsidRPr="00750E48" w:rsidRDefault="00750E48" w:rsidP="00750E48">
      <w:pPr>
        <w:spacing w:before="120" w:after="120"/>
        <w:jc w:val="both"/>
        <w:rPr>
          <w:rFonts w:ascii="Calibri" w:eastAsia="Calibri" w:hAnsi="Calibri" w:cs="Calibri"/>
        </w:rPr>
      </w:pPr>
      <w:r w:rsidRPr="00750E48">
        <w:rPr>
          <w:rFonts w:ascii="Calibri" w:eastAsia="Calibri" w:hAnsi="Calibri" w:cs="Calibri"/>
        </w:rPr>
        <w:t>Altra risposta sensata al quadro di incertezza globale possono essere le politiche di bilancio in area euro, più espansive e favorevoli agli investimenti.  A sostegno di una dotazione tecnologia delle imprese che permetta loro di muoversi con più agilità e velocità nei mercati internazionali, anche riconfigurando le proprie catene del valore, in risposta ad una mappa dei rischi geopolitici in continuo mutamento.</w:t>
      </w:r>
    </w:p>
    <w:p w14:paraId="0A36B6F4" w14:textId="2A10DA2D" w:rsidR="00750E48" w:rsidRPr="00750E48" w:rsidRDefault="00750E48" w:rsidP="00750E48">
      <w:pPr>
        <w:spacing w:before="120" w:after="120"/>
        <w:jc w:val="both"/>
        <w:rPr>
          <w:rFonts w:ascii="Calibri" w:eastAsia="Calibri" w:hAnsi="Calibri" w:cs="Calibri"/>
        </w:rPr>
      </w:pPr>
      <w:r w:rsidRPr="00750E48">
        <w:rPr>
          <w:rFonts w:ascii="Calibri" w:eastAsia="Calibri" w:hAnsi="Calibri" w:cs="Calibri"/>
        </w:rPr>
        <w:t>Sono interessanti al riguardo, a fronte di un PIL europeo che con riferimento alle principali quattro economie si è fermato al +0,9% tendenziale nel 2025</w:t>
      </w:r>
      <w:r w:rsidR="004466C3">
        <w:rPr>
          <w:rFonts w:ascii="Calibri" w:eastAsia="Calibri" w:hAnsi="Calibri" w:cs="Calibri"/>
        </w:rPr>
        <w:t xml:space="preserve"> (stima Ref. Congiuntura)</w:t>
      </w:r>
      <w:r w:rsidRPr="00750E48">
        <w:rPr>
          <w:rFonts w:ascii="Calibri" w:eastAsia="Calibri" w:hAnsi="Calibri" w:cs="Calibri"/>
        </w:rPr>
        <w:t>, alcuni cambiamenti nelle intonazioni delle politiche di bilancio europee, in una direzione meno restrittiva</w:t>
      </w:r>
      <w:r w:rsidR="004466C3">
        <w:rPr>
          <w:rFonts w:ascii="Calibri" w:eastAsia="Calibri" w:hAnsi="Calibri" w:cs="Calibri"/>
        </w:rPr>
        <w:t>, r</w:t>
      </w:r>
      <w:r w:rsidRPr="00750E48">
        <w:rPr>
          <w:rFonts w:ascii="Calibri" w:eastAsia="Calibri" w:hAnsi="Calibri" w:cs="Calibri"/>
        </w:rPr>
        <w:t>esi favorevoli da un’inflazione stabilizzata. È un tratto comune a più economie avanzate, in questa fase storica, quello delle politiche di bilancio espansive. Tuttavia, se in USA e Giappone “</w:t>
      </w:r>
      <w:r w:rsidRPr="006C1259">
        <w:rPr>
          <w:rFonts w:ascii="Calibri" w:eastAsia="Calibri" w:hAnsi="Calibri" w:cs="Calibri"/>
          <w:i/>
          <w:iCs/>
        </w:rPr>
        <w:t>le traiettorie dei conti pubblici si posizionano ai limiti della sostenibilità del debito, la situazione in europea appare decisamente più solida, sia pure con differenze a seconda dei casi</w:t>
      </w:r>
      <w:r w:rsidRPr="00750E48">
        <w:rPr>
          <w:rFonts w:ascii="Calibri" w:eastAsia="Calibri" w:hAnsi="Calibri" w:cs="Calibri"/>
        </w:rPr>
        <w:t>”</w:t>
      </w:r>
      <w:r>
        <w:rPr>
          <w:rStyle w:val="Rimandonotaapidipagina"/>
          <w:rFonts w:ascii="Calibri" w:eastAsia="Calibri" w:hAnsi="Calibri" w:cs="Calibri"/>
        </w:rPr>
        <w:footnoteReference w:id="1"/>
      </w:r>
      <w:r w:rsidRPr="00750E48">
        <w:rPr>
          <w:rFonts w:ascii="Calibri" w:eastAsia="Calibri" w:hAnsi="Calibri" w:cs="Calibri"/>
        </w:rPr>
        <w:t xml:space="preserve"> . </w:t>
      </w:r>
    </w:p>
    <w:p w14:paraId="70155BF8" w14:textId="77777777" w:rsidR="00750E48" w:rsidRPr="00750E48" w:rsidRDefault="00750E48" w:rsidP="00750E48">
      <w:pPr>
        <w:spacing w:before="120" w:after="120"/>
        <w:jc w:val="both"/>
        <w:rPr>
          <w:rFonts w:ascii="Calibri" w:eastAsia="Calibri" w:hAnsi="Calibri" w:cs="Calibri"/>
        </w:rPr>
      </w:pPr>
      <w:r w:rsidRPr="00750E48">
        <w:rPr>
          <w:rFonts w:ascii="Calibri" w:eastAsia="Calibri" w:hAnsi="Calibri" w:cs="Calibri"/>
        </w:rPr>
        <w:t xml:space="preserve">La Germania è il Paese che annunciato una politica di bilancio più espansiva. Con investimenti legati alla difesa che potrebbero avere impatti positivi anche per l’Italia, trasmessi attraverso la filiera della metalmeccanica. </w:t>
      </w:r>
    </w:p>
    <w:p w14:paraId="7E76352C" w14:textId="77777777" w:rsidR="00750E48" w:rsidRPr="00750E48" w:rsidRDefault="00750E48" w:rsidP="00750E48">
      <w:pPr>
        <w:spacing w:before="120" w:after="120"/>
        <w:jc w:val="both"/>
        <w:rPr>
          <w:rFonts w:ascii="Calibri" w:eastAsia="Calibri" w:hAnsi="Calibri" w:cs="Calibri"/>
        </w:rPr>
      </w:pPr>
      <w:r w:rsidRPr="00750E48">
        <w:rPr>
          <w:rFonts w:ascii="Calibri" w:eastAsia="Calibri" w:hAnsi="Calibri" w:cs="Calibri"/>
        </w:rPr>
        <w:t>Ma con la “clausola nazionale di salvaguardia” ogni Paese dell’area euro può aumentare temporaneamente la propria spesa per la difesa fino al 1,5% del proprio PIL per un periodo massimo di quattro anni, dal 2025 al 2028. “</w:t>
      </w:r>
      <w:r w:rsidRPr="006C1259">
        <w:rPr>
          <w:rFonts w:ascii="Calibri" w:eastAsia="Calibri" w:hAnsi="Calibri" w:cs="Calibri"/>
          <w:i/>
          <w:iCs/>
        </w:rPr>
        <w:t>La Commissione europea ha stimato che ciò potrebbe mobilitare fino a 650 miliardi di euro di spesa aggiuntiva per la difesa nell’arco di tempo considerato</w:t>
      </w:r>
      <w:r w:rsidRPr="00750E48">
        <w:rPr>
          <w:rFonts w:ascii="Calibri" w:eastAsia="Calibri" w:hAnsi="Calibri" w:cs="Calibri"/>
        </w:rPr>
        <w:t>” (sempre Congiuntura Ref.), con la doverosa precisazione che per difesa si intendono oggi anche investimenti tecnologici con più ampia ricaduta in ambito civile.</w:t>
      </w:r>
    </w:p>
    <w:p w14:paraId="17E2D166" w14:textId="492D58D3" w:rsidR="00750E48" w:rsidRPr="00750E48" w:rsidRDefault="00750E48" w:rsidP="00750E48">
      <w:pPr>
        <w:spacing w:before="120" w:after="120"/>
        <w:jc w:val="both"/>
        <w:rPr>
          <w:rFonts w:ascii="Calibri" w:eastAsia="Calibri" w:hAnsi="Calibri" w:cs="Calibri"/>
        </w:rPr>
      </w:pPr>
      <w:r w:rsidRPr="00750E48">
        <w:rPr>
          <w:rFonts w:ascii="Calibri" w:eastAsia="Calibri" w:hAnsi="Calibri" w:cs="Calibri"/>
        </w:rPr>
        <w:t xml:space="preserve">Accordi di libero scambio e politiche di bilancio moderatamente espansive possono </w:t>
      </w:r>
      <w:r w:rsidR="005C6A72">
        <w:rPr>
          <w:rFonts w:ascii="Calibri" w:eastAsia="Calibri" w:hAnsi="Calibri" w:cs="Calibri"/>
        </w:rPr>
        <w:t xml:space="preserve">dunque </w:t>
      </w:r>
      <w:r w:rsidRPr="00750E48">
        <w:rPr>
          <w:rFonts w:ascii="Calibri" w:eastAsia="Calibri" w:hAnsi="Calibri" w:cs="Calibri"/>
        </w:rPr>
        <w:t>essere le prime</w:t>
      </w:r>
      <w:r w:rsidR="007D63C6">
        <w:rPr>
          <w:rFonts w:ascii="Calibri" w:eastAsia="Calibri" w:hAnsi="Calibri" w:cs="Calibri"/>
        </w:rPr>
        <w:t>, intelligenti</w:t>
      </w:r>
      <w:r w:rsidR="004466C3">
        <w:rPr>
          <w:rFonts w:ascii="Calibri" w:eastAsia="Calibri" w:hAnsi="Calibri" w:cs="Calibri"/>
        </w:rPr>
        <w:t>,</w:t>
      </w:r>
      <w:r w:rsidRPr="00750E48">
        <w:rPr>
          <w:rFonts w:ascii="Calibri" w:eastAsia="Calibri" w:hAnsi="Calibri" w:cs="Calibri"/>
        </w:rPr>
        <w:t xml:space="preserve"> reazioni europee </w:t>
      </w:r>
      <w:r w:rsidR="004466C3">
        <w:rPr>
          <w:rFonts w:ascii="Calibri" w:eastAsia="Calibri" w:hAnsi="Calibri" w:cs="Calibri"/>
        </w:rPr>
        <w:t xml:space="preserve">(non le uniche) </w:t>
      </w:r>
      <w:r w:rsidRPr="00750E48">
        <w:rPr>
          <w:rFonts w:ascii="Calibri" w:eastAsia="Calibri" w:hAnsi="Calibri" w:cs="Calibri"/>
        </w:rPr>
        <w:t>al</w:t>
      </w:r>
      <w:r w:rsidR="006C1259">
        <w:rPr>
          <w:rFonts w:ascii="Calibri" w:eastAsia="Calibri" w:hAnsi="Calibri" w:cs="Calibri"/>
        </w:rPr>
        <w:t xml:space="preserve">le </w:t>
      </w:r>
      <w:r w:rsidR="007D63C6">
        <w:rPr>
          <w:rFonts w:ascii="Calibri" w:eastAsia="Calibri" w:hAnsi="Calibri" w:cs="Calibri"/>
        </w:rPr>
        <w:t xml:space="preserve">avverse </w:t>
      </w:r>
      <w:r w:rsidR="006C1259">
        <w:rPr>
          <w:rFonts w:ascii="Calibri" w:eastAsia="Calibri" w:hAnsi="Calibri" w:cs="Calibri"/>
        </w:rPr>
        <w:lastRenderedPageBreak/>
        <w:t>politiche commerciali statunitensi</w:t>
      </w:r>
      <w:r w:rsidR="007D63C6">
        <w:rPr>
          <w:rFonts w:ascii="Calibri" w:eastAsia="Calibri" w:hAnsi="Calibri" w:cs="Calibri"/>
        </w:rPr>
        <w:t xml:space="preserve">. Ne </w:t>
      </w:r>
      <w:r w:rsidRPr="00750E48">
        <w:rPr>
          <w:rFonts w:ascii="Calibri" w:eastAsia="Calibri" w:hAnsi="Calibri" w:cs="Calibri"/>
        </w:rPr>
        <w:t xml:space="preserve">potrebbe </w:t>
      </w:r>
      <w:r w:rsidR="007D63C6">
        <w:rPr>
          <w:rFonts w:ascii="Calibri" w:eastAsia="Calibri" w:hAnsi="Calibri" w:cs="Calibri"/>
        </w:rPr>
        <w:t xml:space="preserve">trarre </w:t>
      </w:r>
      <w:r w:rsidRPr="00750E48">
        <w:rPr>
          <w:rFonts w:ascii="Calibri" w:eastAsia="Calibri" w:hAnsi="Calibri" w:cs="Calibri"/>
        </w:rPr>
        <w:t>benefici</w:t>
      </w:r>
      <w:r w:rsidR="007D63C6">
        <w:rPr>
          <w:rFonts w:ascii="Calibri" w:eastAsia="Calibri" w:hAnsi="Calibri" w:cs="Calibri"/>
        </w:rPr>
        <w:t>o</w:t>
      </w:r>
      <w:r w:rsidRPr="00750E48">
        <w:rPr>
          <w:rFonts w:ascii="Calibri" w:eastAsia="Calibri" w:hAnsi="Calibri" w:cs="Calibri"/>
        </w:rPr>
        <w:t xml:space="preserve"> anche l’Italia, che al tempo stesso deve saper ridefinire la propria competitività attraverso investimenti tecnologici e aumenti di produttività, </w:t>
      </w:r>
      <w:r w:rsidR="007D63C6">
        <w:rPr>
          <w:rFonts w:ascii="Calibri" w:eastAsia="Calibri" w:hAnsi="Calibri" w:cs="Calibri"/>
        </w:rPr>
        <w:t>così da non fare leva esclusivamente sulla moderazione salariale. Che incide negativamente sulla domanda interna e sull’attrattività dei talenti, oltre ad ampliare situazioni di fragilità sociale (i salari reali in Italia hanno perso il 10,5% del loro potere d’acquisto tra il 2019 e il 2024, secondo il Rapporto Annuale 2025 dell’Istat).</w:t>
      </w:r>
      <w:r w:rsidR="00C04B7A">
        <w:rPr>
          <w:rFonts w:ascii="Calibri" w:eastAsia="Calibri" w:hAnsi="Calibri" w:cs="Calibri"/>
        </w:rPr>
        <w:t xml:space="preserve"> Peraltro, il protrarsi della moderazione </w:t>
      </w:r>
      <w:r w:rsidRPr="00750E48">
        <w:rPr>
          <w:rFonts w:ascii="Calibri" w:eastAsia="Calibri" w:hAnsi="Calibri" w:cs="Calibri"/>
        </w:rPr>
        <w:t xml:space="preserve">salariale </w:t>
      </w:r>
      <w:r w:rsidR="00C04B7A">
        <w:rPr>
          <w:rFonts w:ascii="Calibri" w:eastAsia="Calibri" w:hAnsi="Calibri" w:cs="Calibri"/>
        </w:rPr>
        <w:t xml:space="preserve">sarà sempre meno </w:t>
      </w:r>
      <w:r w:rsidRPr="00750E48">
        <w:rPr>
          <w:rFonts w:ascii="Calibri" w:eastAsia="Calibri" w:hAnsi="Calibri" w:cs="Calibri"/>
        </w:rPr>
        <w:t>compatibile, già nel medio termine, con i crescenti segnali di difficoltà di reperimento di manodopera, che andranno ad ampliarsi anche per effetto delle tendenze demografiche.</w:t>
      </w:r>
    </w:p>
    <w:p w14:paraId="7A5E1FFD" w14:textId="470FB1DC" w:rsidR="00D9371A" w:rsidRDefault="00637D10" w:rsidP="00637D10">
      <w:pPr>
        <w:spacing w:before="120" w:after="120"/>
        <w:jc w:val="both"/>
        <w:rPr>
          <w:rFonts w:ascii="Calibri" w:eastAsia="Calibri" w:hAnsi="Calibri" w:cs="Calibri"/>
        </w:rPr>
      </w:pPr>
      <w:r w:rsidRPr="00823C6C">
        <w:rPr>
          <w:rFonts w:ascii="Calibri" w:eastAsia="Calibri" w:hAnsi="Calibri" w:cs="Calibri"/>
        </w:rPr>
        <w:t>Restare “</w:t>
      </w:r>
      <w:r w:rsidRPr="004466C3">
        <w:rPr>
          <w:rFonts w:ascii="Calibri" w:eastAsia="Calibri" w:hAnsi="Calibri" w:cs="Calibri"/>
          <w:i/>
          <w:iCs/>
        </w:rPr>
        <w:t>assoggettati alla volontà di altri</w:t>
      </w:r>
      <w:r w:rsidRPr="00823C6C">
        <w:rPr>
          <w:rFonts w:ascii="Calibri" w:eastAsia="Calibri" w:hAnsi="Calibri" w:cs="Calibri"/>
        </w:rPr>
        <w:t>” - per riprendere Draghi - magari spacciando tale condizione per “resilienza”, come ormai è d’uso</w:t>
      </w:r>
      <w:r>
        <w:rPr>
          <w:rFonts w:ascii="Calibri" w:eastAsia="Calibri" w:hAnsi="Calibri" w:cs="Calibri"/>
        </w:rPr>
        <w:t xml:space="preserve"> nella narrazione corrente</w:t>
      </w:r>
      <w:r w:rsidRPr="00823C6C">
        <w:rPr>
          <w:rFonts w:ascii="Calibri" w:eastAsia="Calibri" w:hAnsi="Calibri" w:cs="Calibri"/>
        </w:rPr>
        <w:t xml:space="preserve">, non </w:t>
      </w:r>
      <w:r>
        <w:rPr>
          <w:rFonts w:ascii="Calibri" w:eastAsia="Calibri" w:hAnsi="Calibri" w:cs="Calibri"/>
        </w:rPr>
        <w:t xml:space="preserve">ci conviene né ci </w:t>
      </w:r>
      <w:r w:rsidRPr="00823C6C">
        <w:rPr>
          <w:rFonts w:ascii="Calibri" w:eastAsia="Calibri" w:hAnsi="Calibri" w:cs="Calibri"/>
        </w:rPr>
        <w:t>porta tanto distant</w:t>
      </w:r>
      <w:r>
        <w:rPr>
          <w:rFonts w:ascii="Calibri" w:eastAsia="Calibri" w:hAnsi="Calibri" w:cs="Calibri"/>
        </w:rPr>
        <w:t>i</w:t>
      </w:r>
      <w:r w:rsidRPr="00823C6C">
        <w:rPr>
          <w:rFonts w:ascii="Calibri" w:eastAsia="Calibri" w:hAnsi="Calibri" w:cs="Calibri"/>
        </w:rPr>
        <w:t xml:space="preserve"> da scenari</w:t>
      </w:r>
      <w:r>
        <w:rPr>
          <w:rFonts w:ascii="Calibri" w:eastAsia="Calibri" w:hAnsi="Calibri" w:cs="Calibri"/>
        </w:rPr>
        <w:t xml:space="preserve"> </w:t>
      </w:r>
      <w:r w:rsidR="009C44FA">
        <w:rPr>
          <w:rFonts w:ascii="Calibri" w:eastAsia="Calibri" w:hAnsi="Calibri" w:cs="Calibri"/>
        </w:rPr>
        <w:t xml:space="preserve">di oscillazioni congiunturali attorno </w:t>
      </w:r>
      <w:r>
        <w:rPr>
          <w:rFonts w:ascii="Calibri" w:eastAsia="Calibri" w:hAnsi="Calibri" w:cs="Calibri"/>
        </w:rPr>
        <w:t>all</w:t>
      </w:r>
      <w:r w:rsidR="009C44FA">
        <w:rPr>
          <w:rFonts w:ascii="Calibri" w:eastAsia="Calibri" w:hAnsi="Calibri" w:cs="Calibri"/>
        </w:rPr>
        <w:t>o</w:t>
      </w:r>
      <w:r>
        <w:rPr>
          <w:rFonts w:ascii="Calibri" w:eastAsia="Calibri" w:hAnsi="Calibri" w:cs="Calibri"/>
        </w:rPr>
        <w:t xml:space="preserve"> “zerovirgola”.</w:t>
      </w:r>
      <w:r w:rsidR="009C44FA">
        <w:rPr>
          <w:rFonts w:ascii="Calibri" w:eastAsia="Calibri" w:hAnsi="Calibri" w:cs="Calibri"/>
        </w:rPr>
        <w:t xml:space="preserve"> </w:t>
      </w:r>
      <w:r w:rsidR="00E16081">
        <w:rPr>
          <w:rFonts w:ascii="Calibri" w:eastAsia="Calibri" w:hAnsi="Calibri" w:cs="Calibri"/>
        </w:rPr>
        <w:t>Se è pur vero che il quarto trimestre evidenzia risultati positivi per il manifatturiero veneto, come andremo ora ad illustrare, l’andamento mensile della produzione industriale nazionale (fonte, Istat) certifica continui “</w:t>
      </w:r>
      <w:r w:rsidR="00E16081" w:rsidRPr="004466C3">
        <w:rPr>
          <w:rFonts w:ascii="Calibri" w:eastAsia="Calibri" w:hAnsi="Calibri" w:cs="Calibri"/>
          <w:i/>
          <w:iCs/>
        </w:rPr>
        <w:t>stop and go</w:t>
      </w:r>
      <w:r w:rsidR="00E16081">
        <w:rPr>
          <w:rFonts w:ascii="Calibri" w:eastAsia="Calibri" w:hAnsi="Calibri" w:cs="Calibri"/>
        </w:rPr>
        <w:t>”: a dicembre l’indicatore torna a scendere rispetto al mese precedente in cui invece era tornato a salire. Una situazione che sembra reiterarsi anche nel prossimo futuro: nei primi mesi del 2026 l’indicatore-anticipatore</w:t>
      </w:r>
      <w:r w:rsidR="009C44FA">
        <w:rPr>
          <w:rFonts w:ascii="Calibri" w:eastAsia="Calibri" w:hAnsi="Calibri" w:cs="Calibri"/>
        </w:rPr>
        <w:t xml:space="preserve"> PMI</w:t>
      </w:r>
      <w:r w:rsidR="009C0518">
        <w:rPr>
          <w:rFonts w:ascii="Calibri" w:eastAsia="Calibri" w:hAnsi="Calibri" w:cs="Calibri"/>
        </w:rPr>
        <w:t xml:space="preserve"> di S&amp;P</w:t>
      </w:r>
      <w:r w:rsidR="009C0518">
        <w:rPr>
          <w:rStyle w:val="Rimandonotaapidipagina"/>
          <w:rFonts w:ascii="Calibri" w:eastAsia="Calibri" w:hAnsi="Calibri" w:cs="Calibri"/>
        </w:rPr>
        <w:footnoteReference w:id="2"/>
      </w:r>
      <w:r w:rsidR="009C44FA">
        <w:rPr>
          <w:rFonts w:ascii="Calibri" w:eastAsia="Calibri" w:hAnsi="Calibri" w:cs="Calibri"/>
        </w:rPr>
        <w:t xml:space="preserve"> per Eurozona, Germania e Italia</w:t>
      </w:r>
      <w:r w:rsidR="00E16081">
        <w:rPr>
          <w:rFonts w:ascii="Calibri" w:eastAsia="Calibri" w:hAnsi="Calibri" w:cs="Calibri"/>
        </w:rPr>
        <w:t xml:space="preserve"> prefigura un ciclo economico ancora in bilico tra espansione e contrazione. Parlano chiaro anche le </w:t>
      </w:r>
      <w:r w:rsidR="009C44FA">
        <w:rPr>
          <w:rFonts w:ascii="Calibri" w:eastAsia="Calibri" w:hAnsi="Calibri" w:cs="Calibri"/>
        </w:rPr>
        <w:t>previsioni P</w:t>
      </w:r>
      <w:r>
        <w:rPr>
          <w:rFonts w:ascii="Calibri" w:eastAsia="Calibri" w:hAnsi="Calibri" w:cs="Calibri"/>
        </w:rPr>
        <w:t>rometeia per il Veneto</w:t>
      </w:r>
      <w:r w:rsidR="00E16081">
        <w:rPr>
          <w:rFonts w:ascii="Calibri" w:eastAsia="Calibri" w:hAnsi="Calibri" w:cs="Calibri"/>
        </w:rPr>
        <w:t xml:space="preserve">, che stimano per il 2026 un </w:t>
      </w:r>
      <w:r>
        <w:rPr>
          <w:rFonts w:ascii="Calibri" w:eastAsia="Calibri" w:hAnsi="Calibri" w:cs="Calibri"/>
        </w:rPr>
        <w:t xml:space="preserve">PIL regionale </w:t>
      </w:r>
      <w:r w:rsidR="00E16081">
        <w:rPr>
          <w:rFonts w:ascii="Calibri" w:eastAsia="Calibri" w:hAnsi="Calibri" w:cs="Calibri"/>
        </w:rPr>
        <w:t xml:space="preserve">in </w:t>
      </w:r>
      <w:r>
        <w:rPr>
          <w:rFonts w:ascii="Calibri" w:eastAsia="Calibri" w:hAnsi="Calibri" w:cs="Calibri"/>
        </w:rPr>
        <w:t>“cresc</w:t>
      </w:r>
      <w:r w:rsidR="00E16081">
        <w:rPr>
          <w:rFonts w:ascii="Calibri" w:eastAsia="Calibri" w:hAnsi="Calibri" w:cs="Calibri"/>
        </w:rPr>
        <w:t>ita</w:t>
      </w:r>
      <w:r>
        <w:rPr>
          <w:rFonts w:ascii="Calibri" w:eastAsia="Calibri" w:hAnsi="Calibri" w:cs="Calibri"/>
        </w:rPr>
        <w:t xml:space="preserve">” </w:t>
      </w:r>
      <w:r w:rsidR="00E16081">
        <w:rPr>
          <w:rFonts w:ascii="Calibri" w:eastAsia="Calibri" w:hAnsi="Calibri" w:cs="Calibri"/>
        </w:rPr>
        <w:t xml:space="preserve">appena </w:t>
      </w:r>
      <w:r>
        <w:rPr>
          <w:rFonts w:ascii="Calibri" w:eastAsia="Calibri" w:hAnsi="Calibri" w:cs="Calibri"/>
        </w:rPr>
        <w:t xml:space="preserve">del +0,8% con tutti gli aggregati economici </w:t>
      </w:r>
      <w:r w:rsidR="00D9371A">
        <w:rPr>
          <w:rFonts w:ascii="Calibri" w:eastAsia="Calibri" w:hAnsi="Calibri" w:cs="Calibri"/>
        </w:rPr>
        <w:t>posizionati nel dintorno, compresi gli investimenti fissi lordi che, dopo lo spunto positivo nel 2025 (+4,5%) sono</w:t>
      </w:r>
      <w:r w:rsidR="004466C3">
        <w:rPr>
          <w:rFonts w:ascii="Calibri" w:eastAsia="Calibri" w:hAnsi="Calibri" w:cs="Calibri"/>
        </w:rPr>
        <w:t xml:space="preserve"> stimati</w:t>
      </w:r>
      <w:r w:rsidR="00E16081">
        <w:rPr>
          <w:rFonts w:ascii="Calibri" w:eastAsia="Calibri" w:hAnsi="Calibri" w:cs="Calibri"/>
        </w:rPr>
        <w:t xml:space="preserve"> </w:t>
      </w:r>
      <w:r w:rsidR="00D9371A">
        <w:rPr>
          <w:rFonts w:ascii="Calibri" w:eastAsia="Calibri" w:hAnsi="Calibri" w:cs="Calibri"/>
        </w:rPr>
        <w:t>in rallentamento nel 2026 (+1,6%) per poi entrare addirittura in territorio negativo nel 2027 (-0,3%).</w:t>
      </w:r>
      <w:r w:rsidR="00E16081">
        <w:rPr>
          <w:rFonts w:ascii="Calibri" w:eastAsia="Calibri" w:hAnsi="Calibri" w:cs="Calibri"/>
        </w:rPr>
        <w:t xml:space="preserve"> </w:t>
      </w:r>
    </w:p>
    <w:p w14:paraId="7387E5A2" w14:textId="66257FF5" w:rsidR="00750E48" w:rsidRPr="00750E48" w:rsidRDefault="00750E48" w:rsidP="00750E48">
      <w:pPr>
        <w:spacing w:before="120" w:after="120"/>
        <w:jc w:val="both"/>
        <w:rPr>
          <w:rFonts w:ascii="Calibri" w:eastAsia="Calibri" w:hAnsi="Calibri" w:cs="Calibri"/>
        </w:rPr>
      </w:pPr>
      <w:r w:rsidRPr="00750E48">
        <w:rPr>
          <w:rFonts w:ascii="Calibri" w:eastAsia="Calibri" w:hAnsi="Calibri" w:cs="Calibri"/>
        </w:rPr>
        <w:t xml:space="preserve">In </w:t>
      </w:r>
      <w:r w:rsidR="007D63C6">
        <w:rPr>
          <w:rFonts w:ascii="Calibri" w:eastAsia="Calibri" w:hAnsi="Calibri" w:cs="Calibri"/>
        </w:rPr>
        <w:t>questa cornice</w:t>
      </w:r>
      <w:r w:rsidRPr="00750E48">
        <w:rPr>
          <w:rFonts w:ascii="Calibri" w:eastAsia="Calibri" w:hAnsi="Calibri" w:cs="Calibri"/>
        </w:rPr>
        <w:t>,</w:t>
      </w:r>
      <w:r w:rsidR="006C1259">
        <w:rPr>
          <w:rFonts w:ascii="Calibri" w:eastAsia="Calibri" w:hAnsi="Calibri" w:cs="Calibri"/>
        </w:rPr>
        <w:t xml:space="preserve"> invitiamo a leggere</w:t>
      </w:r>
      <w:r w:rsidRPr="00750E48">
        <w:rPr>
          <w:rFonts w:ascii="Calibri" w:eastAsia="Calibri" w:hAnsi="Calibri" w:cs="Calibri"/>
        </w:rPr>
        <w:t xml:space="preserve"> </w:t>
      </w:r>
      <w:r w:rsidR="006C1259">
        <w:rPr>
          <w:rFonts w:ascii="Calibri" w:eastAsia="Calibri" w:hAnsi="Calibri" w:cs="Calibri"/>
        </w:rPr>
        <w:t xml:space="preserve">l’andamento del manifatturiero veneto e dei suoi territori </w:t>
      </w:r>
      <w:r w:rsidR="00D9371A">
        <w:rPr>
          <w:rFonts w:ascii="Calibri" w:eastAsia="Calibri" w:hAnsi="Calibri" w:cs="Calibri"/>
        </w:rPr>
        <w:t xml:space="preserve">anche </w:t>
      </w:r>
      <w:r w:rsidR="006C1259">
        <w:rPr>
          <w:rFonts w:ascii="Calibri" w:eastAsia="Calibri" w:hAnsi="Calibri" w:cs="Calibri"/>
        </w:rPr>
        <w:t xml:space="preserve">tenendo </w:t>
      </w:r>
      <w:r w:rsidR="00D9371A">
        <w:rPr>
          <w:rFonts w:ascii="Calibri" w:eastAsia="Calibri" w:hAnsi="Calibri" w:cs="Calibri"/>
        </w:rPr>
        <w:t>c</w:t>
      </w:r>
      <w:r w:rsidR="006C1259">
        <w:rPr>
          <w:rFonts w:ascii="Calibri" w:eastAsia="Calibri" w:hAnsi="Calibri" w:cs="Calibri"/>
        </w:rPr>
        <w:t xml:space="preserve">onto di questi </w:t>
      </w:r>
      <w:r w:rsidR="00573DEC">
        <w:rPr>
          <w:rFonts w:ascii="Calibri" w:eastAsia="Calibri" w:hAnsi="Calibri" w:cs="Calibri"/>
        </w:rPr>
        <w:t>tre</w:t>
      </w:r>
      <w:r w:rsidR="006C1259">
        <w:rPr>
          <w:rFonts w:ascii="Calibri" w:eastAsia="Calibri" w:hAnsi="Calibri" w:cs="Calibri"/>
        </w:rPr>
        <w:t xml:space="preserve"> piani di lettura</w:t>
      </w:r>
      <w:r w:rsidR="00D9371A">
        <w:rPr>
          <w:rFonts w:ascii="Calibri" w:eastAsia="Calibri" w:hAnsi="Calibri" w:cs="Calibri"/>
        </w:rPr>
        <w:t>:</w:t>
      </w:r>
    </w:p>
    <w:p w14:paraId="3F815ECE" w14:textId="26702A97" w:rsidR="00750E48" w:rsidRPr="00C04B7A" w:rsidRDefault="00750E48" w:rsidP="00C04B7A">
      <w:pPr>
        <w:pStyle w:val="Paragrafoelenco"/>
        <w:numPr>
          <w:ilvl w:val="0"/>
          <w:numId w:val="3"/>
        </w:numPr>
        <w:spacing w:before="120" w:after="120"/>
        <w:ind w:hanging="513"/>
        <w:jc w:val="both"/>
        <w:rPr>
          <w:rFonts w:cs="Calibri"/>
        </w:rPr>
      </w:pPr>
      <w:r w:rsidRPr="00C04B7A">
        <w:rPr>
          <w:rFonts w:cs="Calibri"/>
        </w:rPr>
        <w:t>L’impatto dei dazi per le imprese manifatturiere venete (con alcune interessanti situazioni differenziate)</w:t>
      </w:r>
      <w:r w:rsidR="00FC6A9D" w:rsidRPr="00C04B7A">
        <w:rPr>
          <w:rFonts w:cs="Calibri"/>
        </w:rPr>
        <w:t>;</w:t>
      </w:r>
    </w:p>
    <w:p w14:paraId="611ECE7D" w14:textId="0A77B4C7" w:rsidR="00750E48" w:rsidRPr="00C04B7A" w:rsidRDefault="00750E48" w:rsidP="00C04B7A">
      <w:pPr>
        <w:pStyle w:val="Paragrafoelenco"/>
        <w:numPr>
          <w:ilvl w:val="0"/>
          <w:numId w:val="3"/>
        </w:numPr>
        <w:spacing w:before="120" w:after="120"/>
        <w:ind w:hanging="513"/>
        <w:jc w:val="both"/>
        <w:rPr>
          <w:rFonts w:cs="Calibri"/>
        </w:rPr>
      </w:pPr>
      <w:r w:rsidRPr="00C04B7A">
        <w:rPr>
          <w:rFonts w:cs="Calibri"/>
        </w:rPr>
        <w:t>Lo spazio di relazioni economiche offerto dagli accordi con Mercosur e India, a partire dagli attuali volumi di scambio e prendendo le misure delle eventuali, presunte, minacce competitive;</w:t>
      </w:r>
    </w:p>
    <w:p w14:paraId="24FA1ED4" w14:textId="27410D79" w:rsidR="009C44FA" w:rsidRPr="009C44FA" w:rsidRDefault="00750E48" w:rsidP="009C44FA">
      <w:pPr>
        <w:pStyle w:val="Paragrafoelenco"/>
        <w:numPr>
          <w:ilvl w:val="0"/>
          <w:numId w:val="3"/>
        </w:numPr>
        <w:spacing w:before="120" w:after="120"/>
        <w:ind w:hanging="513"/>
        <w:jc w:val="both"/>
        <w:rPr>
          <w:rFonts w:cs="Calibri"/>
        </w:rPr>
      </w:pPr>
      <w:r w:rsidRPr="006C1259">
        <w:rPr>
          <w:rFonts w:cs="Calibri"/>
        </w:rPr>
        <w:t>La propensione agii investimenti in tem</w:t>
      </w:r>
      <w:r w:rsidR="00823C6C">
        <w:rPr>
          <w:rFonts w:cs="Calibri"/>
        </w:rPr>
        <w:t>p</w:t>
      </w:r>
      <w:r w:rsidRPr="006C1259">
        <w:rPr>
          <w:rFonts w:cs="Calibri"/>
        </w:rPr>
        <w:t xml:space="preserve">i di forte incertezza, con particolare riferimento all’adozione delle tecnologie abilitanti le frontiere della </w:t>
      </w:r>
      <w:r w:rsidRPr="006C1259">
        <w:rPr>
          <w:rFonts w:cs="Calibri"/>
          <w:i/>
          <w:iCs/>
        </w:rPr>
        <w:t>digital transformation</w:t>
      </w:r>
      <w:r w:rsidR="009C44FA">
        <w:rPr>
          <w:rFonts w:cs="Calibri"/>
        </w:rPr>
        <w:t>.</w:t>
      </w:r>
    </w:p>
    <w:p w14:paraId="3C4AF9FD" w14:textId="3DC12831" w:rsidR="003D0EA1" w:rsidRPr="00750E48" w:rsidRDefault="009C44FA">
      <w:pPr>
        <w:spacing w:before="120" w:after="120"/>
        <w:jc w:val="both"/>
        <w:rPr>
          <w:rFonts w:ascii="Calibri" w:eastAsia="Calibri" w:hAnsi="Calibri" w:cs="Calibri"/>
          <w:highlight w:val="yellow"/>
        </w:rPr>
      </w:pPr>
      <w:r>
        <w:rPr>
          <w:rFonts w:ascii="Calibri" w:eastAsia="Calibri" w:hAnsi="Calibri" w:cs="Calibri"/>
        </w:rPr>
        <w:t xml:space="preserve">Nella reazione al vincolo (dazio) e all’aleatorietà (incertezza politica) tramite </w:t>
      </w:r>
      <w:r w:rsidR="00AA31D8">
        <w:rPr>
          <w:rFonts w:ascii="Calibri" w:eastAsia="Calibri" w:hAnsi="Calibri" w:cs="Calibri"/>
        </w:rPr>
        <w:t xml:space="preserve">nuovi spazi di relazioni economiche e tecnologie a supporto dell’agilità delle filiere ci potrebbero </w:t>
      </w:r>
      <w:r w:rsidR="00AA31D8">
        <w:rPr>
          <w:rFonts w:ascii="Calibri" w:eastAsia="Calibri" w:hAnsi="Calibri" w:cs="Calibri"/>
        </w:rPr>
        <w:lastRenderedPageBreak/>
        <w:t xml:space="preserve">essere le premesse per </w:t>
      </w:r>
      <w:r w:rsidR="00D9371A">
        <w:rPr>
          <w:rFonts w:ascii="Calibri" w:eastAsia="Calibri" w:hAnsi="Calibri" w:cs="Calibri"/>
        </w:rPr>
        <w:t>traiettorie di crescita dal fiato meno corto</w:t>
      </w:r>
      <w:r>
        <w:rPr>
          <w:rFonts w:ascii="Calibri" w:eastAsia="Calibri" w:hAnsi="Calibri" w:cs="Calibri"/>
        </w:rPr>
        <w:t>.</w:t>
      </w:r>
      <w:r w:rsidR="004466C3">
        <w:rPr>
          <w:rFonts w:ascii="Calibri" w:eastAsia="Calibri" w:hAnsi="Calibri" w:cs="Calibri"/>
        </w:rPr>
        <w:t xml:space="preserve"> Magari supportate anche da una più convinta partecipazione dell’Italia ai progetti infrastrutturali paneuropei, strategici per il nostro rango di quarto Paese esportatore al mondo (e importatore di materie prime e semilavorati)</w:t>
      </w:r>
      <w:r w:rsidR="004466C3">
        <w:rPr>
          <w:rStyle w:val="Rimandonotaapidipagina"/>
          <w:rFonts w:ascii="Calibri" w:eastAsia="Calibri" w:hAnsi="Calibri" w:cs="Calibri"/>
        </w:rPr>
        <w:footnoteReference w:id="3"/>
      </w:r>
      <w:r w:rsidR="003D0EA1">
        <w:rPr>
          <w:rFonts w:ascii="Calibri" w:eastAsia="Calibri" w:hAnsi="Calibri" w:cs="Calibri"/>
        </w:rPr>
        <w:t>.</w:t>
      </w:r>
    </w:p>
    <w:tbl>
      <w:tblPr>
        <w:tblStyle w:val="affc"/>
        <w:tblpPr w:leftFromText="141" w:rightFromText="141" w:vertAnchor="text" w:tblpY="291"/>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5"/>
      </w:tblGrid>
      <w:tr w:rsidR="008973A3" w:rsidRPr="00DF3C62" w14:paraId="1E575F9C" w14:textId="77777777">
        <w:tc>
          <w:tcPr>
            <w:tcW w:w="8505" w:type="dxa"/>
          </w:tcPr>
          <w:p w14:paraId="05440A9A" w14:textId="4663C49D" w:rsidR="008973A3" w:rsidRPr="00DF3C62" w:rsidRDefault="007F7710" w:rsidP="00441786">
            <w:pPr>
              <w:pStyle w:val="Titolo1"/>
              <w:spacing w:before="120"/>
              <w:rPr>
                <w:rFonts w:ascii="Calibri" w:eastAsia="Calibri" w:hAnsi="Calibri" w:cs="Calibri"/>
                <w:sz w:val="20"/>
                <w:szCs w:val="20"/>
              </w:rPr>
            </w:pPr>
            <w:r w:rsidRPr="00DF3C62">
              <w:rPr>
                <w:rFonts w:ascii="Calibri" w:eastAsia="Calibri" w:hAnsi="Calibri" w:cs="Calibri"/>
                <w:sz w:val="20"/>
                <w:szCs w:val="20"/>
              </w:rPr>
              <w:t xml:space="preserve">Tab. 1 - </w:t>
            </w:r>
            <w:r w:rsidRPr="00DF3C62">
              <w:rPr>
                <w:rFonts w:ascii="Calibri" w:eastAsia="Calibri" w:hAnsi="Calibri" w:cs="Calibri"/>
                <w:color w:val="00B0F0"/>
                <w:sz w:val="20"/>
                <w:szCs w:val="20"/>
              </w:rPr>
              <w:t>Mondo.</w:t>
            </w:r>
            <w:r w:rsidRPr="00DF3C62">
              <w:rPr>
                <w:rFonts w:ascii="Calibri" w:eastAsia="Calibri" w:hAnsi="Calibri" w:cs="Calibri"/>
                <w:sz w:val="20"/>
                <w:szCs w:val="20"/>
              </w:rPr>
              <w:br/>
              <w:t>Tasso di crescita del PIL nelle principali economie. Stim</w:t>
            </w:r>
            <w:r w:rsidR="00DF3C62" w:rsidRPr="00DF3C62">
              <w:rPr>
                <w:rFonts w:ascii="Calibri" w:eastAsia="Calibri" w:hAnsi="Calibri" w:cs="Calibri"/>
                <w:sz w:val="20"/>
                <w:szCs w:val="20"/>
              </w:rPr>
              <w:t>e</w:t>
            </w:r>
            <w:r w:rsidRPr="00DF3C62">
              <w:rPr>
                <w:rFonts w:ascii="Calibri" w:eastAsia="Calibri" w:hAnsi="Calibri" w:cs="Calibri"/>
                <w:sz w:val="20"/>
                <w:szCs w:val="20"/>
              </w:rPr>
              <w:t xml:space="preserve"> 2024</w:t>
            </w:r>
            <w:r w:rsidR="00DF3C62" w:rsidRPr="00DF3C62">
              <w:rPr>
                <w:rFonts w:ascii="Calibri" w:eastAsia="Calibri" w:hAnsi="Calibri" w:cs="Calibri"/>
                <w:sz w:val="20"/>
                <w:szCs w:val="20"/>
              </w:rPr>
              <w:t xml:space="preserve"> e2025</w:t>
            </w:r>
            <w:r w:rsidRPr="00DF3C62">
              <w:rPr>
                <w:rFonts w:ascii="Calibri" w:eastAsia="Calibri" w:hAnsi="Calibri" w:cs="Calibri"/>
                <w:sz w:val="20"/>
                <w:szCs w:val="20"/>
              </w:rPr>
              <w:t xml:space="preserve"> e previsioni per il 202</w:t>
            </w:r>
            <w:r w:rsidR="00DF3C62" w:rsidRPr="00DF3C62">
              <w:rPr>
                <w:rFonts w:ascii="Calibri" w:eastAsia="Calibri" w:hAnsi="Calibri" w:cs="Calibri"/>
                <w:sz w:val="20"/>
                <w:szCs w:val="20"/>
              </w:rPr>
              <w:t>6</w:t>
            </w:r>
            <w:r w:rsidRPr="00DF3C62">
              <w:rPr>
                <w:rFonts w:ascii="Calibri" w:eastAsia="Calibri" w:hAnsi="Calibri" w:cs="Calibri"/>
                <w:sz w:val="20"/>
                <w:szCs w:val="20"/>
              </w:rPr>
              <w:t>-202</w:t>
            </w:r>
            <w:r w:rsidR="00DF3C62" w:rsidRPr="00DF3C62">
              <w:rPr>
                <w:rFonts w:ascii="Calibri" w:eastAsia="Calibri" w:hAnsi="Calibri" w:cs="Calibri"/>
                <w:sz w:val="20"/>
                <w:szCs w:val="20"/>
              </w:rPr>
              <w:t>7</w:t>
            </w:r>
          </w:p>
        </w:tc>
      </w:tr>
      <w:tr w:rsidR="008973A3" w:rsidRPr="00DF3C62" w14:paraId="06D6DEFF" w14:textId="77777777">
        <w:tc>
          <w:tcPr>
            <w:tcW w:w="8505" w:type="dxa"/>
          </w:tcPr>
          <w:p w14:paraId="18FB96DA" w14:textId="0A24FE3D" w:rsidR="008973A3" w:rsidRPr="00DF3C62" w:rsidRDefault="00DF3C62">
            <w:pPr>
              <w:tabs>
                <w:tab w:val="left" w:pos="3256"/>
              </w:tabs>
              <w:spacing w:before="40"/>
              <w:jc w:val="center"/>
              <w:rPr>
                <w:rFonts w:ascii="Calibri" w:eastAsia="Calibri" w:hAnsi="Calibri" w:cs="Calibri"/>
                <w:b/>
                <w:color w:val="00B0F0"/>
                <w:sz w:val="20"/>
                <w:szCs w:val="20"/>
              </w:rPr>
            </w:pPr>
            <w:r w:rsidRPr="00DF3C62">
              <w:rPr>
                <w:rFonts w:ascii="Calibri" w:eastAsia="Calibri" w:hAnsi="Calibri" w:cs="Calibri"/>
                <w:b/>
                <w:noProof/>
                <w:color w:val="00B0F0"/>
                <w:sz w:val="20"/>
                <w:szCs w:val="20"/>
              </w:rPr>
              <w:drawing>
                <wp:inline distT="0" distB="0" distL="0" distR="0" wp14:anchorId="3A7A84F4" wp14:editId="508764F8">
                  <wp:extent cx="4670414" cy="2733675"/>
                  <wp:effectExtent l="0" t="0" r="0" b="0"/>
                  <wp:docPr id="45230975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2113" cy="2734670"/>
                          </a:xfrm>
                          <a:prstGeom prst="rect">
                            <a:avLst/>
                          </a:prstGeom>
                          <a:noFill/>
                          <a:ln>
                            <a:noFill/>
                          </a:ln>
                        </pic:spPr>
                      </pic:pic>
                    </a:graphicData>
                  </a:graphic>
                </wp:inline>
              </w:drawing>
            </w:r>
          </w:p>
        </w:tc>
      </w:tr>
      <w:tr w:rsidR="008973A3" w:rsidRPr="00455F20" w14:paraId="304D9E88" w14:textId="77777777">
        <w:tc>
          <w:tcPr>
            <w:tcW w:w="8505" w:type="dxa"/>
          </w:tcPr>
          <w:p w14:paraId="7C35A025" w14:textId="147A8384" w:rsidR="008973A3" w:rsidRPr="00DF3C62" w:rsidRDefault="007F7710">
            <w:pPr>
              <w:tabs>
                <w:tab w:val="left" w:pos="3480"/>
                <w:tab w:val="center" w:pos="4002"/>
              </w:tabs>
              <w:spacing w:before="40"/>
              <w:rPr>
                <w:rFonts w:ascii="Arial" w:eastAsia="Arial" w:hAnsi="Arial" w:cs="Arial"/>
                <w:b/>
                <w:color w:val="943634"/>
                <w:sz w:val="16"/>
                <w:szCs w:val="16"/>
                <w:lang w:val="en-US"/>
              </w:rPr>
            </w:pPr>
            <w:r w:rsidRPr="00DF3C62">
              <w:rPr>
                <w:rFonts w:ascii="Arial" w:eastAsia="Arial" w:hAnsi="Arial" w:cs="Arial"/>
                <w:i/>
                <w:sz w:val="16"/>
                <w:szCs w:val="16"/>
                <w:lang w:val="en-US"/>
              </w:rPr>
              <w:t>Fonte: World Economic Outloo</w:t>
            </w:r>
            <w:r w:rsidR="00DF3C62">
              <w:rPr>
                <w:rFonts w:ascii="Arial" w:eastAsia="Arial" w:hAnsi="Arial" w:cs="Arial"/>
                <w:i/>
                <w:sz w:val="16"/>
                <w:szCs w:val="16"/>
                <w:lang w:val="en-US"/>
              </w:rPr>
              <w:t xml:space="preserve">k, </w:t>
            </w:r>
            <w:r w:rsidR="00DF3C62" w:rsidRPr="00DF3C62">
              <w:rPr>
                <w:rFonts w:ascii="Arial" w:eastAsia="Arial" w:hAnsi="Arial" w:cs="Arial"/>
                <w:i/>
                <w:sz w:val="16"/>
                <w:szCs w:val="16"/>
                <w:lang w:val="en-US"/>
              </w:rPr>
              <w:t>January 2026 Update</w:t>
            </w:r>
          </w:p>
        </w:tc>
      </w:tr>
    </w:tbl>
    <w:p w14:paraId="0181BF90" w14:textId="77777777" w:rsidR="008973A3" w:rsidRPr="00750E48" w:rsidRDefault="008973A3">
      <w:pPr>
        <w:rPr>
          <w:rFonts w:ascii="Calibri" w:eastAsia="Calibri" w:hAnsi="Calibri" w:cs="Calibri"/>
          <w:b/>
          <w:highlight w:val="yellow"/>
          <w:lang w:val="en-US"/>
        </w:rPr>
      </w:pPr>
    </w:p>
    <w:tbl>
      <w:tblPr>
        <w:tblStyle w:val="affd"/>
        <w:tblpPr w:leftFromText="141" w:rightFromText="141" w:vertAnchor="text" w:tblpY="111"/>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5"/>
      </w:tblGrid>
      <w:tr w:rsidR="008973A3" w:rsidRPr="00DD3EB4" w14:paraId="06F999D6" w14:textId="77777777">
        <w:tc>
          <w:tcPr>
            <w:tcW w:w="8505" w:type="dxa"/>
          </w:tcPr>
          <w:p w14:paraId="699EAA56" w14:textId="0120C8C5" w:rsidR="008973A3" w:rsidRPr="00DD3EB4" w:rsidRDefault="007F7710" w:rsidP="00480D60">
            <w:pPr>
              <w:pStyle w:val="Titolo1"/>
              <w:spacing w:before="0"/>
              <w:rPr>
                <w:rFonts w:ascii="Calibri" w:eastAsia="Calibri" w:hAnsi="Calibri" w:cs="Calibri"/>
                <w:b w:val="0"/>
                <w:sz w:val="20"/>
                <w:szCs w:val="20"/>
              </w:rPr>
            </w:pPr>
            <w:r w:rsidRPr="00DD3EB4">
              <w:rPr>
                <w:rFonts w:ascii="Calibri" w:eastAsia="Calibri" w:hAnsi="Calibri" w:cs="Calibri"/>
                <w:sz w:val="20"/>
                <w:szCs w:val="20"/>
              </w:rPr>
              <w:t xml:space="preserve">Graf. 1.a – </w:t>
            </w:r>
            <w:r w:rsidRPr="00DD3EB4">
              <w:rPr>
                <w:rFonts w:ascii="Calibri" w:eastAsia="Calibri" w:hAnsi="Calibri" w:cs="Calibri"/>
                <w:color w:val="00B0F0"/>
                <w:sz w:val="20"/>
                <w:szCs w:val="20"/>
              </w:rPr>
              <w:t>Eurozona</w:t>
            </w:r>
            <w:r w:rsidRPr="00DD3EB4">
              <w:rPr>
                <w:rFonts w:ascii="Calibri" w:eastAsia="Calibri" w:hAnsi="Calibri" w:cs="Calibri"/>
                <w:color w:val="00B0F0"/>
                <w:sz w:val="20"/>
                <w:szCs w:val="20"/>
              </w:rPr>
              <w:br/>
            </w:r>
            <w:r w:rsidRPr="00DD3EB4">
              <w:rPr>
                <w:rFonts w:ascii="Calibri" w:eastAsia="Calibri" w:hAnsi="Calibri" w:cs="Calibri"/>
                <w:sz w:val="20"/>
                <w:szCs w:val="20"/>
              </w:rPr>
              <w:t xml:space="preserve">Indice PMI Settore Manifatturiero a </w:t>
            </w:r>
            <w:r w:rsidR="00DD3EB4" w:rsidRPr="00DD3EB4">
              <w:rPr>
                <w:rFonts w:ascii="Calibri" w:eastAsia="Calibri" w:hAnsi="Calibri" w:cs="Calibri"/>
                <w:sz w:val="20"/>
                <w:szCs w:val="20"/>
              </w:rPr>
              <w:t>gennaio</w:t>
            </w:r>
            <w:r w:rsidRPr="00DD3EB4">
              <w:rPr>
                <w:rFonts w:ascii="Calibri" w:eastAsia="Calibri" w:hAnsi="Calibri" w:cs="Calibri"/>
                <w:sz w:val="20"/>
                <w:szCs w:val="20"/>
              </w:rPr>
              <w:t xml:space="preserve"> 202</w:t>
            </w:r>
            <w:r w:rsidR="00DD3EB4">
              <w:rPr>
                <w:rFonts w:ascii="Calibri" w:eastAsia="Calibri" w:hAnsi="Calibri" w:cs="Calibri"/>
                <w:sz w:val="20"/>
                <w:szCs w:val="20"/>
              </w:rPr>
              <w:t>6</w:t>
            </w:r>
          </w:p>
        </w:tc>
      </w:tr>
      <w:tr w:rsidR="008973A3" w:rsidRPr="00DD3EB4" w14:paraId="502EC799" w14:textId="77777777">
        <w:tc>
          <w:tcPr>
            <w:tcW w:w="8505" w:type="dxa"/>
          </w:tcPr>
          <w:p w14:paraId="202540AC" w14:textId="435DFF2F" w:rsidR="008973A3" w:rsidRPr="00DD3EB4" w:rsidRDefault="00DD3EB4">
            <w:pPr>
              <w:pStyle w:val="Titolo1"/>
              <w:jc w:val="center"/>
              <w:rPr>
                <w:rFonts w:ascii="Calibri" w:eastAsia="Calibri" w:hAnsi="Calibri" w:cs="Calibri"/>
                <w:sz w:val="20"/>
                <w:szCs w:val="20"/>
              </w:rPr>
            </w:pPr>
            <w:r w:rsidRPr="00DD3EB4">
              <w:rPr>
                <w:rFonts w:ascii="Calibri" w:eastAsia="Calibri" w:hAnsi="Calibri" w:cs="Calibri"/>
                <w:noProof/>
                <w:sz w:val="20"/>
                <w:szCs w:val="20"/>
              </w:rPr>
              <w:drawing>
                <wp:inline distT="0" distB="0" distL="0" distR="0" wp14:anchorId="08138A77" wp14:editId="1B8BFA1E">
                  <wp:extent cx="3238500" cy="2083686"/>
                  <wp:effectExtent l="0" t="0" r="0" b="0"/>
                  <wp:docPr id="156067999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79994" name=""/>
                          <pic:cNvPicPr/>
                        </pic:nvPicPr>
                        <pic:blipFill>
                          <a:blip r:embed="rId10"/>
                          <a:stretch>
                            <a:fillRect/>
                          </a:stretch>
                        </pic:blipFill>
                        <pic:spPr>
                          <a:xfrm>
                            <a:off x="0" y="0"/>
                            <a:ext cx="3245565" cy="2088232"/>
                          </a:xfrm>
                          <a:prstGeom prst="rect">
                            <a:avLst/>
                          </a:prstGeom>
                        </pic:spPr>
                      </pic:pic>
                    </a:graphicData>
                  </a:graphic>
                </wp:inline>
              </w:drawing>
            </w:r>
          </w:p>
        </w:tc>
      </w:tr>
      <w:tr w:rsidR="005336FE" w:rsidRPr="00DD3EB4" w14:paraId="637A700E" w14:textId="77777777">
        <w:tc>
          <w:tcPr>
            <w:tcW w:w="8505" w:type="dxa"/>
          </w:tcPr>
          <w:p w14:paraId="3B0C5735" w14:textId="38401C26" w:rsidR="005336FE" w:rsidRPr="00DD3EB4" w:rsidRDefault="005336FE" w:rsidP="005336FE">
            <w:pPr>
              <w:keepNext/>
              <w:tabs>
                <w:tab w:val="left" w:pos="3256"/>
              </w:tabs>
              <w:spacing w:before="40"/>
              <w:rPr>
                <w:rFonts w:ascii="Calibri" w:eastAsia="Calibri" w:hAnsi="Calibri" w:cs="Calibri"/>
                <w:noProof/>
                <w:sz w:val="20"/>
                <w:szCs w:val="20"/>
              </w:rPr>
            </w:pPr>
            <w:r w:rsidRPr="00DD3EB4">
              <w:rPr>
                <w:rFonts w:ascii="Arial" w:eastAsia="Arial" w:hAnsi="Arial" w:cs="Arial"/>
                <w:i/>
                <w:sz w:val="16"/>
                <w:szCs w:val="16"/>
              </w:rPr>
              <w:t>Fonte: HCOB e S&amp;P Global PMI, comunicati stampa 0</w:t>
            </w:r>
            <w:r w:rsidR="00DD3EB4" w:rsidRPr="00DD3EB4">
              <w:rPr>
                <w:rFonts w:ascii="Arial" w:eastAsia="Arial" w:hAnsi="Arial" w:cs="Arial"/>
                <w:i/>
                <w:sz w:val="16"/>
                <w:szCs w:val="16"/>
              </w:rPr>
              <w:t>2</w:t>
            </w:r>
            <w:r w:rsidRPr="00DD3EB4">
              <w:rPr>
                <w:rFonts w:ascii="Arial" w:eastAsia="Arial" w:hAnsi="Arial" w:cs="Arial"/>
                <w:i/>
                <w:sz w:val="16"/>
                <w:szCs w:val="16"/>
              </w:rPr>
              <w:t xml:space="preserve"> </w:t>
            </w:r>
            <w:r w:rsidR="00DD3EB4" w:rsidRPr="00DD3EB4">
              <w:rPr>
                <w:rFonts w:ascii="Arial" w:eastAsia="Arial" w:hAnsi="Arial" w:cs="Arial"/>
                <w:i/>
                <w:sz w:val="16"/>
                <w:szCs w:val="16"/>
              </w:rPr>
              <w:t>febbraio</w:t>
            </w:r>
            <w:r w:rsidRPr="00DD3EB4">
              <w:rPr>
                <w:rFonts w:ascii="Arial" w:eastAsia="Arial" w:hAnsi="Arial" w:cs="Arial"/>
                <w:i/>
                <w:sz w:val="16"/>
                <w:szCs w:val="16"/>
              </w:rPr>
              <w:t xml:space="preserve"> 202</w:t>
            </w:r>
            <w:r w:rsidR="00DD3EB4" w:rsidRPr="00DD3EB4">
              <w:rPr>
                <w:rFonts w:ascii="Arial" w:eastAsia="Arial" w:hAnsi="Arial" w:cs="Arial"/>
                <w:i/>
                <w:sz w:val="16"/>
                <w:szCs w:val="16"/>
              </w:rPr>
              <w:t>6</w:t>
            </w:r>
          </w:p>
        </w:tc>
      </w:tr>
    </w:tbl>
    <w:p w14:paraId="765CE4E1" w14:textId="77777777" w:rsidR="005336FE" w:rsidRPr="00750E48" w:rsidRDefault="005336FE">
      <w:pPr>
        <w:rPr>
          <w:rFonts w:ascii="Calibri" w:eastAsia="Calibri" w:hAnsi="Calibri" w:cs="Calibri"/>
          <w:b/>
          <w:highlight w:val="yellow"/>
        </w:rPr>
      </w:pPr>
    </w:p>
    <w:tbl>
      <w:tblPr>
        <w:tblStyle w:val="affe"/>
        <w:tblpPr w:leftFromText="141" w:rightFromText="141" w:vertAnchor="text" w:tblpY="111"/>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25"/>
        <w:gridCol w:w="4280"/>
      </w:tblGrid>
      <w:tr w:rsidR="005336FE" w:rsidRPr="00DD3EB4" w14:paraId="796CA37B" w14:textId="77777777" w:rsidTr="001A4925">
        <w:tc>
          <w:tcPr>
            <w:tcW w:w="8505" w:type="dxa"/>
            <w:gridSpan w:val="2"/>
          </w:tcPr>
          <w:p w14:paraId="2C4F4DE9" w14:textId="0D37698D" w:rsidR="005336FE" w:rsidRPr="00DD3EB4" w:rsidRDefault="005336FE" w:rsidP="005336FE">
            <w:pPr>
              <w:keepNext/>
              <w:tabs>
                <w:tab w:val="left" w:pos="3256"/>
              </w:tabs>
              <w:spacing w:before="40"/>
              <w:rPr>
                <w:rFonts w:ascii="Calibri" w:eastAsia="Calibri" w:hAnsi="Calibri" w:cs="Calibri"/>
                <w:b/>
                <w:bCs/>
                <w:sz w:val="20"/>
                <w:szCs w:val="20"/>
              </w:rPr>
            </w:pPr>
            <w:r w:rsidRPr="00DD3EB4">
              <w:rPr>
                <w:rFonts w:ascii="Calibri" w:eastAsia="Calibri" w:hAnsi="Calibri" w:cs="Calibri"/>
                <w:b/>
                <w:bCs/>
                <w:sz w:val="20"/>
                <w:szCs w:val="20"/>
              </w:rPr>
              <w:t xml:space="preserve">Graf. 1.b – </w:t>
            </w:r>
            <w:r w:rsidRPr="00DD3EB4">
              <w:rPr>
                <w:rFonts w:ascii="Calibri" w:eastAsia="Calibri" w:hAnsi="Calibri" w:cs="Calibri"/>
                <w:b/>
                <w:bCs/>
                <w:color w:val="00B0F0"/>
                <w:sz w:val="20"/>
                <w:szCs w:val="20"/>
              </w:rPr>
              <w:t>Germania e Italia</w:t>
            </w:r>
            <w:r w:rsidRPr="00DD3EB4">
              <w:rPr>
                <w:rFonts w:ascii="Calibri" w:eastAsia="Calibri" w:hAnsi="Calibri" w:cs="Calibri"/>
                <w:b/>
                <w:bCs/>
                <w:color w:val="00B0F0"/>
                <w:sz w:val="20"/>
                <w:szCs w:val="20"/>
              </w:rPr>
              <w:br/>
            </w:r>
            <w:r w:rsidRPr="00DD3EB4">
              <w:rPr>
                <w:rFonts w:ascii="Calibri" w:eastAsia="Calibri" w:hAnsi="Calibri" w:cs="Calibri"/>
                <w:b/>
                <w:bCs/>
                <w:sz w:val="20"/>
                <w:szCs w:val="20"/>
              </w:rPr>
              <w:t xml:space="preserve">Indice PMI Settore Manifatturiero a </w:t>
            </w:r>
            <w:r w:rsidR="00DD3EB4" w:rsidRPr="00DD3EB4">
              <w:rPr>
                <w:rFonts w:ascii="Calibri" w:eastAsia="Calibri" w:hAnsi="Calibri" w:cs="Calibri"/>
                <w:b/>
                <w:bCs/>
                <w:sz w:val="20"/>
                <w:szCs w:val="20"/>
              </w:rPr>
              <w:t>gennaio</w:t>
            </w:r>
            <w:r w:rsidRPr="00DD3EB4">
              <w:rPr>
                <w:rFonts w:ascii="Calibri" w:eastAsia="Calibri" w:hAnsi="Calibri" w:cs="Calibri"/>
                <w:b/>
                <w:bCs/>
                <w:sz w:val="20"/>
                <w:szCs w:val="20"/>
              </w:rPr>
              <w:t xml:space="preserve"> 202</w:t>
            </w:r>
            <w:r w:rsidR="00DD3EB4" w:rsidRPr="00DD3EB4">
              <w:rPr>
                <w:rFonts w:ascii="Calibri" w:eastAsia="Calibri" w:hAnsi="Calibri" w:cs="Calibri"/>
                <w:b/>
                <w:bCs/>
                <w:sz w:val="20"/>
                <w:szCs w:val="20"/>
              </w:rPr>
              <w:t>6</w:t>
            </w:r>
          </w:p>
        </w:tc>
      </w:tr>
      <w:tr w:rsidR="008973A3" w:rsidRPr="00DD3EB4" w14:paraId="636537B0" w14:textId="77777777">
        <w:tc>
          <w:tcPr>
            <w:tcW w:w="4225" w:type="dxa"/>
          </w:tcPr>
          <w:p w14:paraId="3C687520" w14:textId="77777777" w:rsidR="008973A3" w:rsidRPr="00DD3EB4" w:rsidRDefault="007F7710">
            <w:pPr>
              <w:keepNext/>
              <w:tabs>
                <w:tab w:val="left" w:pos="3256"/>
              </w:tabs>
              <w:spacing w:before="40"/>
              <w:jc w:val="center"/>
              <w:rPr>
                <w:rFonts w:ascii="Calibri" w:eastAsia="Calibri" w:hAnsi="Calibri" w:cs="Calibri"/>
                <w:b/>
                <w:sz w:val="20"/>
                <w:szCs w:val="20"/>
              </w:rPr>
            </w:pPr>
            <w:r w:rsidRPr="00DD3EB4">
              <w:rPr>
                <w:rFonts w:ascii="Calibri" w:eastAsia="Calibri" w:hAnsi="Calibri" w:cs="Calibri"/>
                <w:b/>
                <w:sz w:val="20"/>
                <w:szCs w:val="20"/>
              </w:rPr>
              <w:t>Germania</w:t>
            </w:r>
          </w:p>
        </w:tc>
        <w:tc>
          <w:tcPr>
            <w:tcW w:w="4280" w:type="dxa"/>
          </w:tcPr>
          <w:p w14:paraId="0E621250" w14:textId="77777777" w:rsidR="008973A3" w:rsidRPr="00DD3EB4" w:rsidRDefault="007F7710">
            <w:pPr>
              <w:keepNext/>
              <w:tabs>
                <w:tab w:val="left" w:pos="3256"/>
              </w:tabs>
              <w:spacing w:before="40"/>
              <w:jc w:val="center"/>
              <w:rPr>
                <w:rFonts w:ascii="Calibri" w:eastAsia="Calibri" w:hAnsi="Calibri" w:cs="Calibri"/>
                <w:b/>
                <w:sz w:val="20"/>
                <w:szCs w:val="20"/>
              </w:rPr>
            </w:pPr>
            <w:r w:rsidRPr="00DD3EB4">
              <w:rPr>
                <w:rFonts w:ascii="Calibri" w:eastAsia="Calibri" w:hAnsi="Calibri" w:cs="Calibri"/>
                <w:b/>
                <w:sz w:val="20"/>
                <w:szCs w:val="20"/>
              </w:rPr>
              <w:t>Italia</w:t>
            </w:r>
          </w:p>
        </w:tc>
      </w:tr>
      <w:tr w:rsidR="008973A3" w:rsidRPr="00DD3EB4" w14:paraId="174D4898" w14:textId="77777777">
        <w:tc>
          <w:tcPr>
            <w:tcW w:w="4225" w:type="dxa"/>
          </w:tcPr>
          <w:p w14:paraId="3D1656B8" w14:textId="7201E920" w:rsidR="008973A3" w:rsidRPr="00DD3EB4" w:rsidRDefault="00DD3EB4">
            <w:pPr>
              <w:keepNext/>
              <w:tabs>
                <w:tab w:val="left" w:pos="3256"/>
              </w:tabs>
              <w:spacing w:before="40"/>
              <w:jc w:val="center"/>
              <w:rPr>
                <w:rFonts w:ascii="Calibri" w:eastAsia="Calibri" w:hAnsi="Calibri" w:cs="Calibri"/>
                <w:b/>
                <w:sz w:val="20"/>
                <w:szCs w:val="20"/>
              </w:rPr>
            </w:pPr>
            <w:r w:rsidRPr="00DD3EB4">
              <w:rPr>
                <w:rFonts w:ascii="Calibri" w:eastAsia="Calibri" w:hAnsi="Calibri" w:cs="Calibri"/>
                <w:b/>
                <w:noProof/>
                <w:sz w:val="20"/>
                <w:szCs w:val="20"/>
              </w:rPr>
              <w:drawing>
                <wp:inline distT="0" distB="0" distL="0" distR="0" wp14:anchorId="4E59703A" wp14:editId="583347CC">
                  <wp:extent cx="2545715" cy="1562735"/>
                  <wp:effectExtent l="0" t="0" r="6985" b="0"/>
                  <wp:docPr id="98454017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40179" name=""/>
                          <pic:cNvPicPr/>
                        </pic:nvPicPr>
                        <pic:blipFill>
                          <a:blip r:embed="rId11"/>
                          <a:stretch>
                            <a:fillRect/>
                          </a:stretch>
                        </pic:blipFill>
                        <pic:spPr>
                          <a:xfrm>
                            <a:off x="0" y="0"/>
                            <a:ext cx="2545715" cy="1562735"/>
                          </a:xfrm>
                          <a:prstGeom prst="rect">
                            <a:avLst/>
                          </a:prstGeom>
                        </pic:spPr>
                      </pic:pic>
                    </a:graphicData>
                  </a:graphic>
                </wp:inline>
              </w:drawing>
            </w:r>
          </w:p>
        </w:tc>
        <w:tc>
          <w:tcPr>
            <w:tcW w:w="4280" w:type="dxa"/>
          </w:tcPr>
          <w:p w14:paraId="1D09AD62" w14:textId="2C3A5D75" w:rsidR="008973A3" w:rsidRPr="00DD3EB4" w:rsidRDefault="00DD3EB4">
            <w:pPr>
              <w:keepNext/>
              <w:tabs>
                <w:tab w:val="left" w:pos="3256"/>
              </w:tabs>
              <w:spacing w:before="40"/>
              <w:jc w:val="center"/>
              <w:rPr>
                <w:rFonts w:ascii="Calibri" w:eastAsia="Calibri" w:hAnsi="Calibri" w:cs="Calibri"/>
                <w:b/>
                <w:sz w:val="20"/>
                <w:szCs w:val="20"/>
              </w:rPr>
            </w:pPr>
            <w:r w:rsidRPr="00DD3EB4">
              <w:rPr>
                <w:rFonts w:ascii="Calibri" w:eastAsia="Calibri" w:hAnsi="Calibri" w:cs="Calibri"/>
                <w:b/>
                <w:noProof/>
                <w:sz w:val="20"/>
                <w:szCs w:val="20"/>
              </w:rPr>
              <w:drawing>
                <wp:inline distT="0" distB="0" distL="0" distR="0" wp14:anchorId="5620150D" wp14:editId="27D4771E">
                  <wp:extent cx="2580640" cy="1697990"/>
                  <wp:effectExtent l="0" t="0" r="0" b="0"/>
                  <wp:docPr id="84177722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77225" name=""/>
                          <pic:cNvPicPr/>
                        </pic:nvPicPr>
                        <pic:blipFill>
                          <a:blip r:embed="rId12"/>
                          <a:stretch>
                            <a:fillRect/>
                          </a:stretch>
                        </pic:blipFill>
                        <pic:spPr>
                          <a:xfrm>
                            <a:off x="0" y="0"/>
                            <a:ext cx="2580640" cy="1697990"/>
                          </a:xfrm>
                          <a:prstGeom prst="rect">
                            <a:avLst/>
                          </a:prstGeom>
                        </pic:spPr>
                      </pic:pic>
                    </a:graphicData>
                  </a:graphic>
                </wp:inline>
              </w:drawing>
            </w:r>
          </w:p>
        </w:tc>
      </w:tr>
      <w:tr w:rsidR="008973A3" w:rsidRPr="00DD3EB4" w14:paraId="3CE359DA" w14:textId="77777777">
        <w:tc>
          <w:tcPr>
            <w:tcW w:w="4225" w:type="dxa"/>
          </w:tcPr>
          <w:p w14:paraId="0AE6A758" w14:textId="77777777" w:rsidR="008973A3" w:rsidRPr="00DD3EB4" w:rsidRDefault="008973A3">
            <w:pPr>
              <w:keepNext/>
              <w:tabs>
                <w:tab w:val="left" w:pos="3256"/>
              </w:tabs>
              <w:spacing w:before="40"/>
              <w:jc w:val="center"/>
            </w:pPr>
          </w:p>
        </w:tc>
        <w:tc>
          <w:tcPr>
            <w:tcW w:w="4280" w:type="dxa"/>
          </w:tcPr>
          <w:p w14:paraId="4DAE9051" w14:textId="77777777" w:rsidR="008973A3" w:rsidRPr="00DD3EB4" w:rsidRDefault="008973A3">
            <w:pPr>
              <w:keepNext/>
              <w:tabs>
                <w:tab w:val="left" w:pos="3256"/>
              </w:tabs>
              <w:spacing w:before="40"/>
              <w:jc w:val="center"/>
            </w:pPr>
          </w:p>
        </w:tc>
      </w:tr>
      <w:tr w:rsidR="008973A3" w:rsidRPr="00DD3EB4" w14:paraId="4C48E8E5" w14:textId="77777777">
        <w:tc>
          <w:tcPr>
            <w:tcW w:w="8505" w:type="dxa"/>
            <w:gridSpan w:val="2"/>
          </w:tcPr>
          <w:p w14:paraId="78FAE5A5" w14:textId="077AC92B" w:rsidR="008973A3" w:rsidRPr="00DD3EB4" w:rsidRDefault="007F7710">
            <w:pPr>
              <w:keepNext/>
              <w:tabs>
                <w:tab w:val="left" w:pos="3256"/>
              </w:tabs>
              <w:spacing w:before="40"/>
              <w:rPr>
                <w:rFonts w:ascii="Arial" w:eastAsia="Arial" w:hAnsi="Arial" w:cs="Arial"/>
                <w:i/>
                <w:sz w:val="16"/>
                <w:szCs w:val="16"/>
              </w:rPr>
            </w:pPr>
            <w:r w:rsidRPr="00DD3EB4">
              <w:rPr>
                <w:rFonts w:ascii="Arial" w:eastAsia="Arial" w:hAnsi="Arial" w:cs="Arial"/>
                <w:i/>
                <w:sz w:val="16"/>
                <w:szCs w:val="16"/>
              </w:rPr>
              <w:t xml:space="preserve">Fonte: HCOB e S&amp;P Global PMI, comunicati stampa </w:t>
            </w:r>
            <w:r w:rsidR="00DD3EB4" w:rsidRPr="00DD3EB4">
              <w:rPr>
                <w:rFonts w:ascii="Arial" w:eastAsia="Arial" w:hAnsi="Arial" w:cs="Arial"/>
                <w:i/>
                <w:sz w:val="16"/>
                <w:szCs w:val="16"/>
              </w:rPr>
              <w:t>02 febbraio 2026</w:t>
            </w:r>
          </w:p>
        </w:tc>
      </w:tr>
    </w:tbl>
    <w:p w14:paraId="1537D006" w14:textId="77777777" w:rsidR="007F61C8" w:rsidRPr="00750E48" w:rsidRDefault="007F61C8">
      <w:pPr>
        <w:spacing w:before="240" w:after="120"/>
        <w:rPr>
          <w:rFonts w:ascii="Calibri" w:eastAsia="Calibri" w:hAnsi="Calibri" w:cs="Calibri"/>
          <w:b/>
          <w:highlight w:val="yellow"/>
        </w:rPr>
      </w:pPr>
    </w:p>
    <w:p w14:paraId="6222BF21" w14:textId="49612624" w:rsidR="008973A3" w:rsidRPr="009C5D46" w:rsidRDefault="007F7710">
      <w:pPr>
        <w:spacing w:before="240" w:after="120"/>
        <w:rPr>
          <w:rFonts w:ascii="Calibri" w:eastAsia="Calibri" w:hAnsi="Calibri" w:cs="Calibri"/>
          <w:b/>
        </w:rPr>
      </w:pPr>
      <w:r w:rsidRPr="009C5D46">
        <w:rPr>
          <w:rFonts w:ascii="Calibri" w:eastAsia="Calibri" w:hAnsi="Calibri" w:cs="Calibri"/>
          <w:b/>
        </w:rPr>
        <w:t>La dinamica del manifatturiero veneto</w:t>
      </w:r>
    </w:p>
    <w:p w14:paraId="31A119CF" w14:textId="5DC2B414" w:rsidR="00EF6733" w:rsidRPr="009C5D46" w:rsidRDefault="00190A97">
      <w:pPr>
        <w:spacing w:before="240" w:after="120"/>
        <w:jc w:val="both"/>
        <w:rPr>
          <w:rFonts w:ascii="Calibri" w:eastAsia="Calibri" w:hAnsi="Calibri" w:cs="Calibri"/>
        </w:rPr>
      </w:pPr>
      <w:r w:rsidRPr="009C5D46">
        <w:rPr>
          <w:rFonts w:ascii="Calibri" w:eastAsia="Calibri" w:hAnsi="Calibri" w:cs="Calibri"/>
        </w:rPr>
        <w:t xml:space="preserve">Per il manifatturiero veneto il bilancio 2025 è a mezze tinte. Ancora a giugno la </w:t>
      </w:r>
      <w:r w:rsidRPr="009C5D46">
        <w:rPr>
          <w:rFonts w:ascii="Calibri" w:eastAsia="Calibri" w:hAnsi="Calibri" w:cs="Calibri"/>
          <w:b/>
          <w:bCs/>
        </w:rPr>
        <w:t>produzione</w:t>
      </w:r>
      <w:r w:rsidRPr="009C5D46">
        <w:rPr>
          <w:rFonts w:ascii="Calibri" w:eastAsia="Calibri" w:hAnsi="Calibri" w:cs="Calibri"/>
        </w:rPr>
        <w:t xml:space="preserve"> risultava in flessione</w:t>
      </w:r>
      <w:r w:rsidR="004C6F30" w:rsidRPr="009C5D46">
        <w:rPr>
          <w:rFonts w:ascii="Calibri" w:eastAsia="Calibri" w:hAnsi="Calibri" w:cs="Calibri"/>
        </w:rPr>
        <w:t xml:space="preserve"> su base annua</w:t>
      </w:r>
      <w:r w:rsidRPr="009C5D46">
        <w:rPr>
          <w:rFonts w:ascii="Calibri" w:eastAsia="Calibri" w:hAnsi="Calibri" w:cs="Calibri"/>
        </w:rPr>
        <w:t>, come lo era stata per nove trimestri consecutivi, seppure con qualche segnale di attenuazione delle criticità</w:t>
      </w:r>
      <w:r w:rsidR="00EF6733" w:rsidRPr="009C5D46">
        <w:rPr>
          <w:rFonts w:ascii="Calibri" w:eastAsia="Calibri" w:hAnsi="Calibri" w:cs="Calibri"/>
        </w:rPr>
        <w:t xml:space="preserve">, che erano state più </w:t>
      </w:r>
      <w:r w:rsidR="00F53750">
        <w:rPr>
          <w:rFonts w:ascii="Calibri" w:eastAsia="Calibri" w:hAnsi="Calibri" w:cs="Calibri"/>
        </w:rPr>
        <w:t>accentuate</w:t>
      </w:r>
      <w:r w:rsidR="00EF6733" w:rsidRPr="009C5D46">
        <w:rPr>
          <w:rFonts w:ascii="Calibri" w:eastAsia="Calibri" w:hAnsi="Calibri" w:cs="Calibri"/>
        </w:rPr>
        <w:t xml:space="preserve"> nel corso </w:t>
      </w:r>
      <w:r w:rsidR="00BF60CE">
        <w:rPr>
          <w:rFonts w:ascii="Calibri" w:eastAsia="Calibri" w:hAnsi="Calibri" w:cs="Calibri"/>
        </w:rPr>
        <w:t xml:space="preserve">del </w:t>
      </w:r>
      <w:r w:rsidR="00EF6733" w:rsidRPr="009C5D46">
        <w:rPr>
          <w:rFonts w:ascii="Calibri" w:eastAsia="Calibri" w:hAnsi="Calibri" w:cs="Calibri"/>
        </w:rPr>
        <w:t xml:space="preserve">2024. Il terzo trimestre </w:t>
      </w:r>
      <w:r w:rsidR="004C6F30" w:rsidRPr="009C5D46">
        <w:rPr>
          <w:rFonts w:ascii="Calibri" w:eastAsia="Calibri" w:hAnsi="Calibri" w:cs="Calibri"/>
        </w:rPr>
        <w:t xml:space="preserve">marca </w:t>
      </w:r>
      <w:r w:rsidR="00EF6733" w:rsidRPr="009C5D46">
        <w:rPr>
          <w:rFonts w:ascii="Calibri" w:eastAsia="Calibri" w:hAnsi="Calibri" w:cs="Calibri"/>
        </w:rPr>
        <w:t>però una debole ma positiva inversione di tendenza, che trova conferma anche ne</w:t>
      </w:r>
      <w:r w:rsidR="004C6F30" w:rsidRPr="009C5D46">
        <w:rPr>
          <w:rFonts w:ascii="Calibri" w:eastAsia="Calibri" w:hAnsi="Calibri" w:cs="Calibri"/>
        </w:rPr>
        <w:t xml:space="preserve">gli ultimi dati qui raccolti: la variazione tendenziale nel quarto trimestre risulta del </w:t>
      </w:r>
      <w:r w:rsidR="00EF6733" w:rsidRPr="009C5D46">
        <w:rPr>
          <w:rFonts w:ascii="Calibri" w:eastAsia="Calibri" w:hAnsi="Calibri" w:cs="Calibri"/>
        </w:rPr>
        <w:t xml:space="preserve">+1,7%, cui fa da corollario un incremento del grado di utilizzo degli impianti (dal </w:t>
      </w:r>
      <w:r w:rsidR="00AD6D92">
        <w:rPr>
          <w:rFonts w:ascii="Calibri" w:eastAsia="Calibri" w:hAnsi="Calibri" w:cs="Calibri"/>
        </w:rPr>
        <w:t>70,5%</w:t>
      </w:r>
      <w:r w:rsidR="009C5D46" w:rsidRPr="009C5D46">
        <w:rPr>
          <w:rFonts w:ascii="Calibri" w:eastAsia="Calibri" w:hAnsi="Calibri" w:cs="Calibri"/>
        </w:rPr>
        <w:t xml:space="preserve"> di metà anno all’attuale</w:t>
      </w:r>
      <w:r w:rsidR="00EF6733" w:rsidRPr="009C5D46">
        <w:rPr>
          <w:rFonts w:ascii="Calibri" w:eastAsia="Calibri" w:hAnsi="Calibri" w:cs="Calibri"/>
        </w:rPr>
        <w:t xml:space="preserve"> </w:t>
      </w:r>
      <w:r w:rsidR="00AD6D92">
        <w:rPr>
          <w:rFonts w:ascii="Calibri" w:eastAsia="Calibri" w:hAnsi="Calibri" w:cs="Calibri"/>
        </w:rPr>
        <w:t>72,2%</w:t>
      </w:r>
      <w:r w:rsidR="00EF6733" w:rsidRPr="009C5D46">
        <w:rPr>
          <w:rFonts w:ascii="Calibri" w:eastAsia="Calibri" w:hAnsi="Calibri" w:cs="Calibri"/>
        </w:rPr>
        <w:t>).</w:t>
      </w:r>
      <w:r w:rsidR="000363B9">
        <w:rPr>
          <w:rFonts w:ascii="Calibri" w:eastAsia="Calibri" w:hAnsi="Calibri" w:cs="Calibri"/>
        </w:rPr>
        <w:t xml:space="preserve"> A questa dinamica trimestrale positiva occorre far la tara con l’andamento mensile della produzione industriale nazionale di fonte Istat, già sopra richiamata, che evidenzia situazioni di “</w:t>
      </w:r>
      <w:r w:rsidR="000363B9" w:rsidRPr="000363B9">
        <w:rPr>
          <w:rFonts w:ascii="Calibri" w:eastAsia="Calibri" w:hAnsi="Calibri" w:cs="Calibri"/>
          <w:i/>
          <w:iCs/>
        </w:rPr>
        <w:t>stop and go</w:t>
      </w:r>
      <w:r w:rsidR="000363B9">
        <w:rPr>
          <w:rFonts w:ascii="Calibri" w:eastAsia="Calibri" w:hAnsi="Calibri" w:cs="Calibri"/>
        </w:rPr>
        <w:t xml:space="preserve">” anche all’interno del periodo in esame. </w:t>
      </w:r>
    </w:p>
    <w:p w14:paraId="1B7FB65A" w14:textId="77777777" w:rsidR="009C5D46" w:rsidRPr="009C5D46" w:rsidRDefault="00EF6733">
      <w:pPr>
        <w:spacing w:before="240" w:after="120"/>
        <w:jc w:val="both"/>
        <w:rPr>
          <w:rFonts w:ascii="Calibri" w:eastAsia="Calibri" w:hAnsi="Calibri" w:cs="Calibri"/>
        </w:rPr>
      </w:pPr>
      <w:r w:rsidRPr="009C5D46">
        <w:rPr>
          <w:rFonts w:ascii="Calibri" w:eastAsia="Calibri" w:hAnsi="Calibri" w:cs="Calibri"/>
        </w:rPr>
        <w:t xml:space="preserve">Analoga dinamica riguarda </w:t>
      </w:r>
      <w:r w:rsidR="004C6F30" w:rsidRPr="009C5D46">
        <w:rPr>
          <w:rFonts w:ascii="Calibri" w:eastAsia="Calibri" w:hAnsi="Calibri" w:cs="Calibri"/>
        </w:rPr>
        <w:t xml:space="preserve">il </w:t>
      </w:r>
      <w:r w:rsidR="004C6F30" w:rsidRPr="009C5D46">
        <w:rPr>
          <w:rFonts w:ascii="Calibri" w:eastAsia="Calibri" w:hAnsi="Calibri" w:cs="Calibri"/>
          <w:b/>
          <w:bCs/>
        </w:rPr>
        <w:t>fatturato</w:t>
      </w:r>
      <w:r w:rsidR="004C6F30" w:rsidRPr="009C5D46">
        <w:rPr>
          <w:rFonts w:ascii="Calibri" w:eastAsia="Calibri" w:hAnsi="Calibri" w:cs="Calibri"/>
        </w:rPr>
        <w:t>: negativo</w:t>
      </w:r>
      <w:r w:rsidR="009C5D46" w:rsidRPr="009C5D46">
        <w:rPr>
          <w:rFonts w:ascii="Calibri" w:eastAsia="Calibri" w:hAnsi="Calibri" w:cs="Calibri"/>
        </w:rPr>
        <w:t xml:space="preserve"> nei primi sei mesi del 2025, positivo nella seconda metà, con una lieve tendenza al rafforzamento (dal +1,7% al +2,1%), sempre su base tendenziale annua.</w:t>
      </w:r>
    </w:p>
    <w:p w14:paraId="540D792C" w14:textId="7B36DBA2" w:rsidR="00BE4AD4" w:rsidRDefault="009C5D46">
      <w:pPr>
        <w:spacing w:before="240" w:after="120"/>
        <w:jc w:val="both"/>
        <w:rPr>
          <w:rFonts w:ascii="Calibri" w:eastAsia="Calibri" w:hAnsi="Calibri" w:cs="Calibri"/>
        </w:rPr>
      </w:pPr>
      <w:r w:rsidRPr="009C5D46">
        <w:rPr>
          <w:rFonts w:ascii="Calibri" w:eastAsia="Calibri" w:hAnsi="Calibri" w:cs="Calibri"/>
        </w:rPr>
        <w:t xml:space="preserve">Gli </w:t>
      </w:r>
      <w:r w:rsidRPr="009C5D46">
        <w:rPr>
          <w:rFonts w:ascii="Calibri" w:eastAsia="Calibri" w:hAnsi="Calibri" w:cs="Calibri"/>
          <w:b/>
          <w:bCs/>
        </w:rPr>
        <w:t>ordinativi</w:t>
      </w:r>
      <w:r w:rsidRPr="009C5D46">
        <w:rPr>
          <w:rFonts w:ascii="Calibri" w:eastAsia="Calibri" w:hAnsi="Calibri" w:cs="Calibri"/>
        </w:rPr>
        <w:t>, al di là degli strappi congiuntural</w:t>
      </w:r>
      <w:r>
        <w:rPr>
          <w:rFonts w:ascii="Calibri" w:eastAsia="Calibri" w:hAnsi="Calibri" w:cs="Calibri"/>
        </w:rPr>
        <w:t>i dovuti al fenomeno dell’anticipo di domanda per evitare la ghigliottina dei dazi, sono rimasti in “calma piatta”</w:t>
      </w:r>
      <w:r w:rsidR="00F53750">
        <w:rPr>
          <w:rFonts w:ascii="Calibri" w:eastAsia="Calibri" w:hAnsi="Calibri" w:cs="Calibri"/>
        </w:rPr>
        <w:t xml:space="preserve"> nei </w:t>
      </w:r>
      <w:r>
        <w:rPr>
          <w:rFonts w:ascii="Calibri" w:eastAsia="Calibri" w:hAnsi="Calibri" w:cs="Calibri"/>
        </w:rPr>
        <w:t>primi nove mesi</w:t>
      </w:r>
      <w:r w:rsidR="00AD6D92">
        <w:rPr>
          <w:rFonts w:ascii="Calibri" w:eastAsia="Calibri" w:hAnsi="Calibri" w:cs="Calibri"/>
        </w:rPr>
        <w:t xml:space="preserve"> dell’anno</w:t>
      </w:r>
      <w:r w:rsidR="00F53750">
        <w:rPr>
          <w:rFonts w:ascii="Calibri" w:eastAsia="Calibri" w:hAnsi="Calibri" w:cs="Calibri"/>
        </w:rPr>
        <w:t>, se confrontati con le dinamiche dello scorso anno</w:t>
      </w:r>
      <w:r>
        <w:rPr>
          <w:rFonts w:ascii="Calibri" w:eastAsia="Calibri" w:hAnsi="Calibri" w:cs="Calibri"/>
        </w:rPr>
        <w:t>. Solo nel quarto trimestre si registra un significativo rafforzamento degli ordini esteri (+3,9%</w:t>
      </w:r>
      <w:r w:rsidR="00F53750">
        <w:rPr>
          <w:rFonts w:ascii="Calibri" w:eastAsia="Calibri" w:hAnsi="Calibri" w:cs="Calibri"/>
        </w:rPr>
        <w:t xml:space="preserve"> la variazione tendenziale</w:t>
      </w:r>
      <w:r>
        <w:rPr>
          <w:rFonts w:ascii="Calibri" w:eastAsia="Calibri" w:hAnsi="Calibri" w:cs="Calibri"/>
        </w:rPr>
        <w:t>) in netta discontinuità co</w:t>
      </w:r>
      <w:r w:rsidR="00AD6D92">
        <w:rPr>
          <w:rFonts w:ascii="Calibri" w:eastAsia="Calibri" w:hAnsi="Calibri" w:cs="Calibri"/>
        </w:rPr>
        <w:t>n il recente passato. Ne beneficia soprattutto l’industria dei macchinari, molto probabilmente al traino degli impulsi positivi d</w:t>
      </w:r>
      <w:r w:rsidR="00BE4AD4">
        <w:rPr>
          <w:rFonts w:ascii="Calibri" w:eastAsia="Calibri" w:hAnsi="Calibri" w:cs="Calibri"/>
        </w:rPr>
        <w:t>e</w:t>
      </w:r>
      <w:r w:rsidR="00AD6D92">
        <w:rPr>
          <w:rFonts w:ascii="Calibri" w:eastAsia="Calibri" w:hAnsi="Calibri" w:cs="Calibri"/>
        </w:rPr>
        <w:t xml:space="preserve">lla </w:t>
      </w:r>
      <w:r w:rsidR="00AD6D92">
        <w:rPr>
          <w:rFonts w:ascii="Calibri" w:eastAsia="Calibri" w:hAnsi="Calibri" w:cs="Calibri"/>
        </w:rPr>
        <w:lastRenderedPageBreak/>
        <w:t>politica fiscale tedesca</w:t>
      </w:r>
      <w:r w:rsidR="00BE4AD4">
        <w:rPr>
          <w:rFonts w:ascii="Calibri" w:eastAsia="Calibri" w:hAnsi="Calibri" w:cs="Calibri"/>
        </w:rPr>
        <w:t>, incentrata come si diceva sopra su spese per investimenti infrastrutturali e difesa</w:t>
      </w:r>
      <w:r w:rsidR="00AD6D92">
        <w:rPr>
          <w:rFonts w:ascii="Calibri" w:eastAsia="Calibri" w:hAnsi="Calibri" w:cs="Calibri"/>
        </w:rPr>
        <w:t xml:space="preserve">. </w:t>
      </w:r>
    </w:p>
    <w:p w14:paraId="337B7C6B" w14:textId="764A2CE1" w:rsidR="00BE4AD4" w:rsidRDefault="00AD6D92">
      <w:pPr>
        <w:spacing w:before="240" w:after="120"/>
        <w:jc w:val="both"/>
        <w:rPr>
          <w:rFonts w:ascii="Calibri" w:eastAsia="Calibri" w:hAnsi="Calibri" w:cs="Calibri"/>
        </w:rPr>
      </w:pPr>
      <w:r>
        <w:rPr>
          <w:rFonts w:ascii="Calibri" w:eastAsia="Calibri" w:hAnsi="Calibri" w:cs="Calibri"/>
        </w:rPr>
        <w:t>Meno sostanzioso il risveglio della domanda interna (+1,6%): dato medio frenato</w:t>
      </w:r>
      <w:r w:rsidR="00BE4AD4">
        <w:rPr>
          <w:rFonts w:ascii="Calibri" w:eastAsia="Calibri" w:hAnsi="Calibri" w:cs="Calibri"/>
        </w:rPr>
        <w:t xml:space="preserve"> soprattutto dall’occhialeria e dalla gomma plastica, mentre in recupero risultano due settori del Made in Italy quali il legno-arredo e il Sistema Moda che escono così da una lunga sequenza di trimestri negativi sul fronte della raccolta ordini.</w:t>
      </w:r>
    </w:p>
    <w:p w14:paraId="0D42C067" w14:textId="15A2E5C1" w:rsidR="00750DF8" w:rsidRDefault="00BE4AD4">
      <w:pPr>
        <w:spacing w:before="240" w:after="120"/>
        <w:jc w:val="both"/>
        <w:rPr>
          <w:rFonts w:ascii="Calibri" w:eastAsia="Calibri" w:hAnsi="Calibri" w:cs="Calibri"/>
        </w:rPr>
      </w:pPr>
      <w:r>
        <w:rPr>
          <w:rFonts w:ascii="Calibri" w:eastAsia="Calibri" w:hAnsi="Calibri" w:cs="Calibri"/>
        </w:rPr>
        <w:t xml:space="preserve">Nel complesso, torna ad allungarsi, anche in modo significativo, l’orizzonte di produzione assicurato dal </w:t>
      </w:r>
      <w:r w:rsidRPr="00750DF8">
        <w:rPr>
          <w:rFonts w:ascii="Calibri" w:eastAsia="Calibri" w:hAnsi="Calibri" w:cs="Calibri"/>
          <w:b/>
          <w:bCs/>
        </w:rPr>
        <w:t>portafoglio ordini</w:t>
      </w:r>
      <w:r>
        <w:rPr>
          <w:rFonts w:ascii="Calibri" w:eastAsia="Calibri" w:hAnsi="Calibri" w:cs="Calibri"/>
        </w:rPr>
        <w:t xml:space="preserve">: che a fine anno si consolida attorno ai 58 giorni, contro i 52 di inizio anno. </w:t>
      </w:r>
      <w:r w:rsidR="005331C8">
        <w:rPr>
          <w:rFonts w:ascii="Calibri" w:eastAsia="Calibri" w:hAnsi="Calibri" w:cs="Calibri"/>
        </w:rPr>
        <w:t>Ciò</w:t>
      </w:r>
      <w:r>
        <w:rPr>
          <w:rFonts w:ascii="Calibri" w:eastAsia="Calibri" w:hAnsi="Calibri" w:cs="Calibri"/>
        </w:rPr>
        <w:t xml:space="preserve"> come dato medio per l’intero comparto manifatturiero. Ma pressoché tutti i settori</w:t>
      </w:r>
      <w:r w:rsidR="00261E45">
        <w:rPr>
          <w:rFonts w:ascii="Calibri" w:eastAsia="Calibri" w:hAnsi="Calibri" w:cs="Calibri"/>
        </w:rPr>
        <w:t>, persino</w:t>
      </w:r>
      <w:r w:rsidR="009C604B">
        <w:rPr>
          <w:rFonts w:ascii="Calibri" w:eastAsia="Calibri" w:hAnsi="Calibri" w:cs="Calibri"/>
        </w:rPr>
        <w:t xml:space="preserve"> i mezzi di trasporto (che contiene la componentistica per</w:t>
      </w:r>
      <w:r w:rsidR="00261E45">
        <w:rPr>
          <w:rFonts w:ascii="Calibri" w:eastAsia="Calibri" w:hAnsi="Calibri" w:cs="Calibri"/>
        </w:rPr>
        <w:t xml:space="preserve"> l’</w:t>
      </w:r>
      <w:r w:rsidR="00261E45" w:rsidRPr="009C604B">
        <w:rPr>
          <w:rFonts w:ascii="Calibri" w:eastAsia="Calibri" w:hAnsi="Calibri" w:cs="Calibri"/>
          <w:i/>
          <w:iCs/>
        </w:rPr>
        <w:t>automotive</w:t>
      </w:r>
      <w:r w:rsidR="009C604B">
        <w:rPr>
          <w:rFonts w:ascii="Calibri" w:eastAsia="Calibri" w:hAnsi="Calibri" w:cs="Calibri"/>
        </w:rPr>
        <w:t>)</w:t>
      </w:r>
      <w:r w:rsidR="00F53750">
        <w:rPr>
          <w:rFonts w:ascii="Calibri" w:eastAsia="Calibri" w:hAnsi="Calibri" w:cs="Calibri"/>
        </w:rPr>
        <w:t xml:space="preserve"> </w:t>
      </w:r>
      <w:r w:rsidR="009C604B">
        <w:rPr>
          <w:rFonts w:ascii="Calibri" w:eastAsia="Calibri" w:hAnsi="Calibri" w:cs="Calibri"/>
        </w:rPr>
        <w:t xml:space="preserve">sono interessati da questo </w:t>
      </w:r>
      <w:r w:rsidR="00F53750">
        <w:rPr>
          <w:rFonts w:ascii="Calibri" w:eastAsia="Calibri" w:hAnsi="Calibri" w:cs="Calibri"/>
        </w:rPr>
        <w:t>allungamento del portafoglio</w:t>
      </w:r>
      <w:r>
        <w:rPr>
          <w:rFonts w:ascii="Calibri" w:eastAsia="Calibri" w:hAnsi="Calibri" w:cs="Calibri"/>
        </w:rPr>
        <w:t xml:space="preserve">, </w:t>
      </w:r>
      <w:r w:rsidR="00261E45">
        <w:rPr>
          <w:rFonts w:ascii="Calibri" w:eastAsia="Calibri" w:hAnsi="Calibri" w:cs="Calibri"/>
        </w:rPr>
        <w:t xml:space="preserve">pur </w:t>
      </w:r>
      <w:r>
        <w:rPr>
          <w:rFonts w:ascii="Calibri" w:eastAsia="Calibri" w:hAnsi="Calibri" w:cs="Calibri"/>
        </w:rPr>
        <w:t xml:space="preserve">con le </w:t>
      </w:r>
      <w:r w:rsidR="00261E45">
        <w:rPr>
          <w:rFonts w:ascii="Calibri" w:eastAsia="Calibri" w:hAnsi="Calibri" w:cs="Calibri"/>
        </w:rPr>
        <w:t xml:space="preserve">fisiologiche </w:t>
      </w:r>
      <w:r>
        <w:rPr>
          <w:rFonts w:ascii="Calibri" w:eastAsia="Calibri" w:hAnsi="Calibri" w:cs="Calibri"/>
        </w:rPr>
        <w:t>differenze legat</w:t>
      </w:r>
      <w:r w:rsidR="009C604B">
        <w:rPr>
          <w:rFonts w:ascii="Calibri" w:eastAsia="Calibri" w:hAnsi="Calibri" w:cs="Calibri"/>
        </w:rPr>
        <w:t>e</w:t>
      </w:r>
      <w:r>
        <w:rPr>
          <w:rFonts w:ascii="Calibri" w:eastAsia="Calibri" w:hAnsi="Calibri" w:cs="Calibri"/>
        </w:rPr>
        <w:t xml:space="preserve"> agli specifici </w:t>
      </w:r>
      <w:r w:rsidR="00261E45" w:rsidRPr="009C604B">
        <w:rPr>
          <w:rFonts w:ascii="Calibri" w:eastAsia="Calibri" w:hAnsi="Calibri" w:cs="Calibri"/>
          <w:i/>
          <w:iCs/>
        </w:rPr>
        <w:t>lead time</w:t>
      </w:r>
      <w:r w:rsidR="00261E45">
        <w:rPr>
          <w:rFonts w:ascii="Calibri" w:eastAsia="Calibri" w:hAnsi="Calibri" w:cs="Calibri"/>
        </w:rPr>
        <w:t xml:space="preserve">. Fa eccezione l’occhialeria, il cui orizzonte di produzione scende sotto la soglia dei 40 giorni, </w:t>
      </w:r>
      <w:r w:rsidR="005331C8">
        <w:rPr>
          <w:rFonts w:ascii="Calibri" w:eastAsia="Calibri" w:hAnsi="Calibri" w:cs="Calibri"/>
        </w:rPr>
        <w:t xml:space="preserve">dopo che nei primi nove mesi si era mantenuto </w:t>
      </w:r>
      <w:r w:rsidR="00750DF8">
        <w:rPr>
          <w:rFonts w:ascii="Calibri" w:eastAsia="Calibri" w:hAnsi="Calibri" w:cs="Calibri"/>
        </w:rPr>
        <w:t>su una</w:t>
      </w:r>
      <w:r w:rsidR="005331C8">
        <w:rPr>
          <w:rFonts w:ascii="Calibri" w:eastAsia="Calibri" w:hAnsi="Calibri" w:cs="Calibri"/>
        </w:rPr>
        <w:t xml:space="preserve"> media di 50 giorni. </w:t>
      </w:r>
      <w:r w:rsidR="001442AD">
        <w:rPr>
          <w:rFonts w:ascii="Calibri" w:eastAsia="Calibri" w:hAnsi="Calibri" w:cs="Calibri"/>
        </w:rPr>
        <w:t>È</w:t>
      </w:r>
      <w:r w:rsidR="009C604B">
        <w:rPr>
          <w:rFonts w:ascii="Calibri" w:eastAsia="Calibri" w:hAnsi="Calibri" w:cs="Calibri"/>
        </w:rPr>
        <w:t xml:space="preserve"> un dato più in linea c</w:t>
      </w:r>
      <w:r w:rsidR="005331C8">
        <w:rPr>
          <w:rFonts w:ascii="Calibri" w:eastAsia="Calibri" w:hAnsi="Calibri" w:cs="Calibri"/>
        </w:rPr>
        <w:t xml:space="preserve">on il 2023 (e l’inizio del 2019) che con l’effervescenza attraversata durante il 2024. Ma questo ridimensionamento </w:t>
      </w:r>
      <w:r w:rsidR="0078210B">
        <w:rPr>
          <w:rFonts w:ascii="Calibri" w:eastAsia="Calibri" w:hAnsi="Calibri" w:cs="Calibri"/>
        </w:rPr>
        <w:t>del portafoglio ordini</w:t>
      </w:r>
      <w:r w:rsidR="00750DF8">
        <w:rPr>
          <w:rFonts w:ascii="Calibri" w:eastAsia="Calibri" w:hAnsi="Calibri" w:cs="Calibri"/>
        </w:rPr>
        <w:t xml:space="preserve">, almeno come monitorato nel territorio, </w:t>
      </w:r>
      <w:r w:rsidR="005331C8">
        <w:rPr>
          <w:rFonts w:ascii="Calibri" w:eastAsia="Calibri" w:hAnsi="Calibri" w:cs="Calibri"/>
        </w:rPr>
        <w:t xml:space="preserve">pare </w:t>
      </w:r>
      <w:r w:rsidR="00F53750">
        <w:rPr>
          <w:rFonts w:ascii="Calibri" w:eastAsia="Calibri" w:hAnsi="Calibri" w:cs="Calibri"/>
        </w:rPr>
        <w:t>lasciare ferite aperte,</w:t>
      </w:r>
      <w:r w:rsidR="005331C8">
        <w:rPr>
          <w:rFonts w:ascii="Calibri" w:eastAsia="Calibri" w:hAnsi="Calibri" w:cs="Calibri"/>
        </w:rPr>
        <w:t xml:space="preserve"> se è vero che il grado di utilizzo degli impianti</w:t>
      </w:r>
      <w:r w:rsidR="00062306">
        <w:rPr>
          <w:rFonts w:ascii="Calibri" w:eastAsia="Calibri" w:hAnsi="Calibri" w:cs="Calibri"/>
        </w:rPr>
        <w:t xml:space="preserve"> del settore </w:t>
      </w:r>
      <w:r w:rsidR="0078210B">
        <w:rPr>
          <w:rFonts w:ascii="Calibri" w:eastAsia="Calibri" w:hAnsi="Calibri" w:cs="Calibri"/>
        </w:rPr>
        <w:t xml:space="preserve">occhialeria </w:t>
      </w:r>
      <w:r w:rsidR="00062306">
        <w:rPr>
          <w:rFonts w:ascii="Calibri" w:eastAsia="Calibri" w:hAnsi="Calibri" w:cs="Calibri"/>
        </w:rPr>
        <w:t xml:space="preserve">è da tre trimestri fermo al 61%, </w:t>
      </w:r>
      <w:r w:rsidR="005331C8">
        <w:rPr>
          <w:rFonts w:ascii="Calibri" w:eastAsia="Calibri" w:hAnsi="Calibri" w:cs="Calibri"/>
        </w:rPr>
        <w:t xml:space="preserve">oltre 10 punti inferiore al dato medio di comparto.  </w:t>
      </w:r>
      <w:r w:rsidR="0078210B">
        <w:rPr>
          <w:rFonts w:ascii="Calibri" w:eastAsia="Calibri" w:hAnsi="Calibri" w:cs="Calibri"/>
        </w:rPr>
        <w:t>Ancora lo scorso trimestre il settore</w:t>
      </w:r>
      <w:r w:rsidR="00F53750">
        <w:rPr>
          <w:rFonts w:ascii="Calibri" w:eastAsia="Calibri" w:hAnsi="Calibri" w:cs="Calibri"/>
        </w:rPr>
        <w:t xml:space="preserve"> </w:t>
      </w:r>
      <w:r w:rsidR="009C604B">
        <w:rPr>
          <w:rFonts w:ascii="Calibri" w:eastAsia="Calibri" w:hAnsi="Calibri" w:cs="Calibri"/>
        </w:rPr>
        <w:t xml:space="preserve">manifatturiero veneto </w:t>
      </w:r>
      <w:r w:rsidR="0078210B">
        <w:rPr>
          <w:rFonts w:ascii="Calibri" w:eastAsia="Calibri" w:hAnsi="Calibri" w:cs="Calibri"/>
        </w:rPr>
        <w:t>con il più basso grado di saturazione della capacità produttiva era l’</w:t>
      </w:r>
      <w:r w:rsidR="0078210B" w:rsidRPr="001442AD">
        <w:rPr>
          <w:rFonts w:ascii="Calibri" w:eastAsia="Calibri" w:hAnsi="Calibri" w:cs="Calibri"/>
          <w:i/>
          <w:iCs/>
        </w:rPr>
        <w:t>automotive</w:t>
      </w:r>
      <w:r w:rsidR="0078210B">
        <w:rPr>
          <w:rFonts w:ascii="Calibri" w:eastAsia="Calibri" w:hAnsi="Calibri" w:cs="Calibri"/>
        </w:rPr>
        <w:t xml:space="preserve"> (52%), che però nel quarto trimestre si riporta al 67%. Oggi questo non felice primato spetta all’occhialeria</w:t>
      </w:r>
      <w:r w:rsidR="00750DF8">
        <w:rPr>
          <w:rFonts w:ascii="Calibri" w:eastAsia="Calibri" w:hAnsi="Calibri" w:cs="Calibri"/>
        </w:rPr>
        <w:t>, assieme all’orafo.</w:t>
      </w:r>
    </w:p>
    <w:p w14:paraId="0D3F762A" w14:textId="1B86F1E3" w:rsidR="009926A6" w:rsidRDefault="0001583B">
      <w:pPr>
        <w:spacing w:before="240" w:after="120"/>
        <w:jc w:val="both"/>
        <w:rPr>
          <w:rFonts w:ascii="Calibri" w:eastAsia="Calibri" w:hAnsi="Calibri" w:cs="Calibri"/>
        </w:rPr>
      </w:pPr>
      <w:bookmarkStart w:id="0" w:name="_Hlk221631509"/>
      <w:r>
        <w:rPr>
          <w:rFonts w:ascii="Calibri" w:eastAsia="Calibri" w:hAnsi="Calibri" w:cs="Calibri"/>
        </w:rPr>
        <w:t xml:space="preserve">Nelle previsioni per i primi tre mesi del 2026 </w:t>
      </w:r>
      <w:r w:rsidR="00B65B0F">
        <w:rPr>
          <w:rFonts w:ascii="Calibri" w:eastAsia="Calibri" w:hAnsi="Calibri" w:cs="Calibri"/>
        </w:rPr>
        <w:t>si rileva un apprezzabile miglioramento del clima rispetto alle preoccupazioni raccolte a metà 2025</w:t>
      </w:r>
      <w:r w:rsidR="009926A6">
        <w:rPr>
          <w:rFonts w:ascii="Calibri" w:eastAsia="Calibri" w:hAnsi="Calibri" w:cs="Calibri"/>
        </w:rPr>
        <w:t xml:space="preserve">. In tutti e quattro gli indicatori monitorati (produzione, fatturato, ordinativi esteri e dal mercato interno) la quota di imprenditori “ottimisti”, che hanno formulato attese di crescita, torna leggermente ad aumentare, anche per la domanda estera, mentre </w:t>
      </w:r>
      <w:r w:rsidR="009C604B">
        <w:rPr>
          <w:rFonts w:ascii="Calibri" w:eastAsia="Calibri" w:hAnsi="Calibri" w:cs="Calibri"/>
        </w:rPr>
        <w:t>-</w:t>
      </w:r>
      <w:r w:rsidR="009926A6">
        <w:rPr>
          <w:rFonts w:ascii="Calibri" w:eastAsia="Calibri" w:hAnsi="Calibri" w:cs="Calibri"/>
        </w:rPr>
        <w:t xml:space="preserve"> specularmente - si riducono le attese di flessione. </w:t>
      </w:r>
      <w:r w:rsidR="00B65B0F">
        <w:rPr>
          <w:rFonts w:ascii="Calibri" w:eastAsia="Calibri" w:hAnsi="Calibri" w:cs="Calibri"/>
        </w:rPr>
        <w:t xml:space="preserve">Al tempo stesso resta consolidata </w:t>
      </w:r>
      <w:r w:rsidR="009C604B">
        <w:rPr>
          <w:rFonts w:ascii="Calibri" w:eastAsia="Calibri" w:hAnsi="Calibri" w:cs="Calibri"/>
        </w:rPr>
        <w:t xml:space="preserve">o </w:t>
      </w:r>
      <w:r w:rsidR="00B65B0F">
        <w:rPr>
          <w:rFonts w:ascii="Calibri" w:eastAsia="Calibri" w:hAnsi="Calibri" w:cs="Calibri"/>
        </w:rPr>
        <w:t xml:space="preserve">tende ad ampliarsi, </w:t>
      </w:r>
      <w:r w:rsidR="009C604B">
        <w:rPr>
          <w:rFonts w:ascii="Calibri" w:eastAsia="Calibri" w:hAnsi="Calibri" w:cs="Calibri"/>
        </w:rPr>
        <w:t xml:space="preserve">in specie per le attese sulla domanda, </w:t>
      </w:r>
      <w:r w:rsidR="00B65B0F">
        <w:rPr>
          <w:rFonts w:ascii="Calibri" w:eastAsia="Calibri" w:hAnsi="Calibri" w:cs="Calibri"/>
        </w:rPr>
        <w:t>la quota di giudizi orientati per la stazionarietà</w:t>
      </w:r>
      <w:r w:rsidR="009C604B">
        <w:rPr>
          <w:rFonts w:ascii="Calibri" w:eastAsia="Calibri" w:hAnsi="Calibri" w:cs="Calibri"/>
        </w:rPr>
        <w:t>: a ricordare la continua convivenza degli imprenditori con s</w:t>
      </w:r>
      <w:r w:rsidR="009926A6">
        <w:rPr>
          <w:rFonts w:ascii="Calibri" w:eastAsia="Calibri" w:hAnsi="Calibri" w:cs="Calibri"/>
        </w:rPr>
        <w:t xml:space="preserve">cenari </w:t>
      </w:r>
      <w:r w:rsidR="009C604B">
        <w:rPr>
          <w:rFonts w:ascii="Calibri" w:eastAsia="Calibri" w:hAnsi="Calibri" w:cs="Calibri"/>
        </w:rPr>
        <w:t>a</w:t>
      </w:r>
      <w:r w:rsidR="009926A6">
        <w:rPr>
          <w:rFonts w:ascii="Calibri" w:eastAsia="Calibri" w:hAnsi="Calibri" w:cs="Calibri"/>
        </w:rPr>
        <w:t>d alto grado di incertezza. Nel dettaglio:</w:t>
      </w:r>
    </w:p>
    <w:p w14:paraId="4D5EAE5B" w14:textId="7B0F00DA" w:rsidR="00000D8B" w:rsidRPr="006E4090" w:rsidRDefault="009926A6" w:rsidP="006E4090">
      <w:pPr>
        <w:pStyle w:val="Paragrafoelenco"/>
        <w:numPr>
          <w:ilvl w:val="0"/>
          <w:numId w:val="4"/>
        </w:numPr>
        <w:spacing w:before="240" w:after="120"/>
        <w:jc w:val="both"/>
        <w:rPr>
          <w:rFonts w:cs="Calibri"/>
        </w:rPr>
      </w:pPr>
      <w:r>
        <w:rPr>
          <w:rFonts w:cs="Calibri"/>
        </w:rPr>
        <w:t xml:space="preserve">Per la </w:t>
      </w:r>
      <w:r w:rsidRPr="00350A9A">
        <w:rPr>
          <w:rFonts w:cs="Calibri"/>
          <w:b/>
          <w:bCs/>
        </w:rPr>
        <w:t>produzione</w:t>
      </w:r>
      <w:r>
        <w:rPr>
          <w:rFonts w:cs="Calibri"/>
        </w:rPr>
        <w:t>, i giudizi di crescita riconquistano il 40% degli intervistati (erano scesi al 34% a giugno 2025); mantenendo lo stesso confronto temporale, scendono dal 28</w:t>
      </w:r>
      <w:r w:rsidR="00000D8B">
        <w:rPr>
          <w:rFonts w:cs="Calibri"/>
        </w:rPr>
        <w:t>% al 21% i giudizi di flessione</w:t>
      </w:r>
      <w:r w:rsidR="006E4090">
        <w:rPr>
          <w:rFonts w:cs="Calibri"/>
        </w:rPr>
        <w:t>, mentre</w:t>
      </w:r>
      <w:r w:rsidR="00000D8B" w:rsidRPr="006E4090">
        <w:rPr>
          <w:rFonts w:cs="Calibri"/>
        </w:rPr>
        <w:t xml:space="preserve"> le indicazioni di stazionarietà si ampliano leggermente (dal 37% al 39%</w:t>
      </w:r>
      <w:r w:rsidR="006E4090">
        <w:rPr>
          <w:rFonts w:cs="Calibri"/>
        </w:rPr>
        <w:t>)</w:t>
      </w:r>
      <w:r w:rsidR="00000D8B" w:rsidRPr="006E4090">
        <w:rPr>
          <w:rFonts w:cs="Calibri"/>
        </w:rPr>
        <w:t>;</w:t>
      </w:r>
    </w:p>
    <w:p w14:paraId="30F4C241" w14:textId="77777777" w:rsidR="00000D8B" w:rsidRDefault="00000D8B" w:rsidP="009926A6">
      <w:pPr>
        <w:pStyle w:val="Paragrafoelenco"/>
        <w:numPr>
          <w:ilvl w:val="0"/>
          <w:numId w:val="4"/>
        </w:numPr>
        <w:spacing w:before="240" w:after="120"/>
        <w:jc w:val="both"/>
        <w:rPr>
          <w:rFonts w:cs="Calibri"/>
        </w:rPr>
      </w:pPr>
      <w:r>
        <w:rPr>
          <w:rFonts w:cs="Calibri"/>
        </w:rPr>
        <w:lastRenderedPageBreak/>
        <w:t xml:space="preserve">Per il </w:t>
      </w:r>
      <w:r w:rsidRPr="00350A9A">
        <w:rPr>
          <w:rFonts w:cs="Calibri"/>
          <w:b/>
          <w:bCs/>
        </w:rPr>
        <w:t>fatturato</w:t>
      </w:r>
      <w:r>
        <w:rPr>
          <w:rFonts w:cs="Calibri"/>
        </w:rPr>
        <w:t xml:space="preserve"> la distribuzione dei giudizi è analoga: gli “ottimisti” passano dal 36% della survey di giugno al 42% della presente survey; specularmente i “pessimisti” scendono dal 29% al 23%. Invariata al 35% la quota di giudizi orientati alla stazionarietà;</w:t>
      </w:r>
    </w:p>
    <w:p w14:paraId="3B61099D" w14:textId="01CE1320" w:rsidR="0001583B" w:rsidRPr="009926A6" w:rsidRDefault="006E4090" w:rsidP="009926A6">
      <w:pPr>
        <w:pStyle w:val="Paragrafoelenco"/>
        <w:numPr>
          <w:ilvl w:val="0"/>
          <w:numId w:val="4"/>
        </w:numPr>
        <w:spacing w:before="240" w:after="120"/>
        <w:jc w:val="both"/>
        <w:rPr>
          <w:rFonts w:cs="Calibri"/>
        </w:rPr>
      </w:pPr>
      <w:r>
        <w:rPr>
          <w:rFonts w:cs="Calibri"/>
        </w:rPr>
        <w:t xml:space="preserve">Le previsioni sulla </w:t>
      </w:r>
      <w:r w:rsidRPr="00350A9A">
        <w:rPr>
          <w:rFonts w:cs="Calibri"/>
          <w:b/>
          <w:bCs/>
        </w:rPr>
        <w:t>domanda</w:t>
      </w:r>
      <w:r>
        <w:rPr>
          <w:rFonts w:cs="Calibri"/>
        </w:rPr>
        <w:t xml:space="preserve"> scontano maggiore incertezza: per gli </w:t>
      </w:r>
      <w:r w:rsidRPr="00350A9A">
        <w:rPr>
          <w:rFonts w:cs="Calibri"/>
          <w:i/>
          <w:iCs/>
        </w:rPr>
        <w:t>ordini raccolti dal mercato italiano</w:t>
      </w:r>
      <w:r>
        <w:rPr>
          <w:rFonts w:cs="Calibri"/>
        </w:rPr>
        <w:t xml:space="preserve"> la maggioranza relativa delle imprese intervistate (41%) resta ancorata ad indicazioni di stazionarietà, pur con un</w:t>
      </w:r>
      <w:r w:rsidR="00350A9A">
        <w:rPr>
          <w:rFonts w:cs="Calibri"/>
        </w:rPr>
        <w:t xml:space="preserve"> ampliamento della </w:t>
      </w:r>
      <w:r>
        <w:rPr>
          <w:rFonts w:cs="Calibri"/>
        </w:rPr>
        <w:t>quota di ottimisti</w:t>
      </w:r>
      <w:r w:rsidR="00350A9A">
        <w:rPr>
          <w:rFonts w:cs="Calibri"/>
        </w:rPr>
        <w:t xml:space="preserve">, che </w:t>
      </w:r>
      <w:r>
        <w:rPr>
          <w:rFonts w:cs="Calibri"/>
        </w:rPr>
        <w:t>sale</w:t>
      </w:r>
      <w:r w:rsidR="00350A9A">
        <w:rPr>
          <w:rFonts w:cs="Calibri"/>
        </w:rPr>
        <w:t xml:space="preserve"> </w:t>
      </w:r>
      <w:r>
        <w:rPr>
          <w:rFonts w:cs="Calibri"/>
        </w:rPr>
        <w:t xml:space="preserve">dal 32% di giugno al 39% di dicembre. Per gli </w:t>
      </w:r>
      <w:r w:rsidRPr="00350A9A">
        <w:rPr>
          <w:rFonts w:cs="Calibri"/>
          <w:i/>
          <w:iCs/>
        </w:rPr>
        <w:t>ordinativi esteri</w:t>
      </w:r>
      <w:r>
        <w:rPr>
          <w:rFonts w:cs="Calibri"/>
        </w:rPr>
        <w:t xml:space="preserve"> i giudizi di stazionarietà arrivano a coinvolgere il 43% delle imprese intervistate: però, negli scenari descritti, si può considerare una buona notizia il fatto che </w:t>
      </w:r>
      <w:r w:rsidR="009C604B">
        <w:rPr>
          <w:rFonts w:cs="Calibri"/>
        </w:rPr>
        <w:t xml:space="preserve">anche per questo indicatore </w:t>
      </w:r>
      <w:r>
        <w:rPr>
          <w:rFonts w:cs="Calibri"/>
        </w:rPr>
        <w:t xml:space="preserve">le attese di crescita </w:t>
      </w:r>
      <w:r w:rsidR="009C604B">
        <w:rPr>
          <w:rFonts w:cs="Calibri"/>
        </w:rPr>
        <w:t>si riportano a</w:t>
      </w:r>
      <w:r>
        <w:rPr>
          <w:rFonts w:cs="Calibri"/>
        </w:rPr>
        <w:t>l 40% degli intervistati (contro il 33% di giugno ’25)</w:t>
      </w:r>
      <w:r w:rsidR="009C604B">
        <w:rPr>
          <w:rFonts w:cs="Calibri"/>
        </w:rPr>
        <w:t xml:space="preserve">, mentre quelle di flessione passano dal </w:t>
      </w:r>
      <w:r>
        <w:rPr>
          <w:rFonts w:cs="Calibri"/>
        </w:rPr>
        <w:t>25% al 17%</w:t>
      </w:r>
      <w:r w:rsidR="009C604B">
        <w:rPr>
          <w:rFonts w:cs="Calibri"/>
        </w:rPr>
        <w:t xml:space="preserve"> degli intervistati</w:t>
      </w:r>
      <w:r>
        <w:rPr>
          <w:rFonts w:cs="Calibri"/>
        </w:rPr>
        <w:t xml:space="preserve">. </w:t>
      </w:r>
      <w:r w:rsidR="00000D8B">
        <w:rPr>
          <w:rFonts w:cs="Calibri"/>
        </w:rPr>
        <w:t xml:space="preserve"> </w:t>
      </w:r>
      <w:r w:rsidR="00B65B0F" w:rsidRPr="009926A6">
        <w:rPr>
          <w:rFonts w:cs="Calibri"/>
        </w:rPr>
        <w:t xml:space="preserve"> </w:t>
      </w:r>
      <w:r w:rsidR="0001583B" w:rsidRPr="009926A6">
        <w:rPr>
          <w:rFonts w:cs="Calibri"/>
        </w:rPr>
        <w:t xml:space="preserve"> </w:t>
      </w:r>
    </w:p>
    <w:bookmarkEnd w:id="0"/>
    <w:p w14:paraId="45EEDD96" w14:textId="77777777" w:rsidR="009C604B" w:rsidRPr="00750E48" w:rsidRDefault="009C604B">
      <w:pPr>
        <w:spacing w:before="240" w:after="120"/>
        <w:jc w:val="both"/>
        <w:rPr>
          <w:rFonts w:ascii="Calibri" w:eastAsia="Calibri" w:hAnsi="Calibri" w:cs="Calibri"/>
          <w:highlight w:val="yellow"/>
        </w:rPr>
      </w:pPr>
    </w:p>
    <w:tbl>
      <w:tblPr>
        <w:tblStyle w:val="afff"/>
        <w:tblpPr w:leftFromText="141" w:rightFromText="141" w:vertAnchor="text" w:tblpY="111"/>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5"/>
      </w:tblGrid>
      <w:tr w:rsidR="008973A3" w:rsidRPr="006169AF" w14:paraId="53F450C9" w14:textId="77777777">
        <w:tc>
          <w:tcPr>
            <w:tcW w:w="8505" w:type="dxa"/>
          </w:tcPr>
          <w:p w14:paraId="63BC902F" w14:textId="3D666668" w:rsidR="008973A3" w:rsidRPr="006169AF" w:rsidRDefault="007F7710">
            <w:pPr>
              <w:pStyle w:val="Titolo1"/>
              <w:keepLines/>
              <w:spacing w:before="0"/>
              <w:rPr>
                <w:rFonts w:ascii="Calibri" w:eastAsia="Calibri" w:hAnsi="Calibri" w:cs="Calibri"/>
                <w:b w:val="0"/>
                <w:sz w:val="20"/>
                <w:szCs w:val="20"/>
              </w:rPr>
            </w:pPr>
            <w:r w:rsidRPr="006169AF">
              <w:rPr>
                <w:rFonts w:ascii="Calibri" w:eastAsia="Calibri" w:hAnsi="Calibri" w:cs="Calibri"/>
                <w:sz w:val="20"/>
                <w:szCs w:val="20"/>
              </w:rPr>
              <w:t xml:space="preserve">Graf. </w:t>
            </w:r>
            <w:r w:rsidR="00583857" w:rsidRPr="006169AF">
              <w:rPr>
                <w:rFonts w:ascii="Calibri" w:eastAsia="Calibri" w:hAnsi="Calibri" w:cs="Calibri"/>
                <w:sz w:val="20"/>
                <w:szCs w:val="20"/>
              </w:rPr>
              <w:t>2</w:t>
            </w:r>
            <w:r w:rsidRPr="006169AF">
              <w:rPr>
                <w:rFonts w:ascii="Calibri" w:eastAsia="Calibri" w:hAnsi="Calibri" w:cs="Calibri"/>
                <w:sz w:val="20"/>
                <w:szCs w:val="20"/>
              </w:rPr>
              <w:t xml:space="preserve"> – </w:t>
            </w:r>
            <w:r w:rsidRPr="006169AF">
              <w:rPr>
                <w:rFonts w:ascii="Calibri" w:eastAsia="Calibri" w:hAnsi="Calibri" w:cs="Calibri"/>
                <w:color w:val="00B0F0"/>
                <w:sz w:val="20"/>
                <w:szCs w:val="20"/>
              </w:rPr>
              <w:t>Veneto.</w:t>
            </w:r>
            <w:r w:rsidRPr="006169AF">
              <w:rPr>
                <w:rFonts w:ascii="Calibri" w:eastAsia="Calibri" w:hAnsi="Calibri" w:cs="Calibri"/>
                <w:color w:val="00B0F0"/>
                <w:sz w:val="20"/>
                <w:szCs w:val="20"/>
              </w:rPr>
              <w:br/>
            </w:r>
            <w:r w:rsidRPr="006169AF">
              <w:rPr>
                <w:rFonts w:ascii="Calibri" w:eastAsia="Calibri" w:hAnsi="Calibri" w:cs="Calibri"/>
                <w:sz w:val="20"/>
                <w:szCs w:val="20"/>
              </w:rPr>
              <w:t xml:space="preserve">Variazione % nel </w:t>
            </w:r>
            <w:r w:rsidR="00092F45" w:rsidRPr="006169AF">
              <w:rPr>
                <w:rFonts w:ascii="Calibri" w:eastAsia="Calibri" w:hAnsi="Calibri" w:cs="Calibri"/>
                <w:sz w:val="20"/>
                <w:szCs w:val="20"/>
              </w:rPr>
              <w:t>4</w:t>
            </w:r>
            <w:r w:rsidRPr="006169AF">
              <w:rPr>
                <w:rFonts w:ascii="Calibri" w:eastAsia="Calibri" w:hAnsi="Calibri" w:cs="Calibri"/>
                <w:sz w:val="20"/>
                <w:szCs w:val="20"/>
              </w:rPr>
              <w:t>° trimestre 2025, rispetto al</w:t>
            </w:r>
            <w:r w:rsidR="0036197D" w:rsidRPr="006169AF">
              <w:rPr>
                <w:rFonts w:ascii="Calibri" w:eastAsia="Calibri" w:hAnsi="Calibri" w:cs="Calibri"/>
                <w:sz w:val="20"/>
                <w:szCs w:val="20"/>
              </w:rPr>
              <w:t xml:space="preserve">lo stesso </w:t>
            </w:r>
            <w:r w:rsidRPr="006169AF">
              <w:rPr>
                <w:rFonts w:ascii="Calibri" w:eastAsia="Calibri" w:hAnsi="Calibri" w:cs="Calibri"/>
                <w:sz w:val="20"/>
                <w:szCs w:val="20"/>
              </w:rPr>
              <w:t xml:space="preserve">trimestre </w:t>
            </w:r>
            <w:r w:rsidR="0036197D" w:rsidRPr="006169AF">
              <w:rPr>
                <w:rFonts w:ascii="Calibri" w:eastAsia="Calibri" w:hAnsi="Calibri" w:cs="Calibri"/>
                <w:sz w:val="20"/>
                <w:szCs w:val="20"/>
              </w:rPr>
              <w:t xml:space="preserve">dell’anno </w:t>
            </w:r>
            <w:r w:rsidRPr="006169AF">
              <w:rPr>
                <w:rFonts w:ascii="Calibri" w:eastAsia="Calibri" w:hAnsi="Calibri" w:cs="Calibri"/>
                <w:sz w:val="20"/>
                <w:szCs w:val="20"/>
              </w:rPr>
              <w:t xml:space="preserve">precedente, della PRODUZIONE, del FATTURATO, degli ORDINI INTERNI e degli ORDINI ESTERI per i principali settori manifatturieri. </w:t>
            </w:r>
            <w:r w:rsidRPr="006169AF">
              <w:rPr>
                <w:rFonts w:ascii="Calibri" w:eastAsia="Calibri" w:hAnsi="Calibri" w:cs="Calibri"/>
                <w:b w:val="0"/>
                <w:sz w:val="20"/>
                <w:szCs w:val="20"/>
              </w:rPr>
              <w:t>Graduatoria in base alla variazione % de</w:t>
            </w:r>
            <w:r w:rsidR="006169AF" w:rsidRPr="006169AF">
              <w:rPr>
                <w:rFonts w:ascii="Calibri" w:eastAsia="Calibri" w:hAnsi="Calibri" w:cs="Calibri"/>
                <w:b w:val="0"/>
                <w:sz w:val="20"/>
                <w:szCs w:val="20"/>
              </w:rPr>
              <w:t>gli ordini esteri</w:t>
            </w:r>
          </w:p>
        </w:tc>
      </w:tr>
      <w:tr w:rsidR="008973A3" w:rsidRPr="006169AF" w14:paraId="568AB9ED" w14:textId="77777777">
        <w:tc>
          <w:tcPr>
            <w:tcW w:w="8505" w:type="dxa"/>
          </w:tcPr>
          <w:p w14:paraId="5ECC1692" w14:textId="3671EAB1" w:rsidR="008973A3" w:rsidRPr="006169AF" w:rsidRDefault="006169AF">
            <w:pPr>
              <w:tabs>
                <w:tab w:val="left" w:pos="3256"/>
              </w:tabs>
              <w:spacing w:before="40"/>
              <w:jc w:val="center"/>
              <w:rPr>
                <w:rFonts w:ascii="Calibri" w:eastAsia="Calibri" w:hAnsi="Calibri" w:cs="Calibri"/>
                <w:b/>
                <w:sz w:val="20"/>
                <w:szCs w:val="20"/>
              </w:rPr>
            </w:pPr>
            <w:r w:rsidRPr="006169AF">
              <w:rPr>
                <w:rFonts w:ascii="Calibri" w:eastAsia="Calibri" w:hAnsi="Calibri" w:cs="Calibri"/>
                <w:b/>
                <w:noProof/>
                <w:sz w:val="20"/>
                <w:szCs w:val="20"/>
              </w:rPr>
              <w:drawing>
                <wp:inline distT="0" distB="0" distL="0" distR="0" wp14:anchorId="466D247A" wp14:editId="6A2C58EF">
                  <wp:extent cx="4714504" cy="2938024"/>
                  <wp:effectExtent l="0" t="0" r="0" b="0"/>
                  <wp:docPr id="146510465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5788" cy="2945056"/>
                          </a:xfrm>
                          <a:prstGeom prst="rect">
                            <a:avLst/>
                          </a:prstGeom>
                          <a:noFill/>
                          <a:ln>
                            <a:noFill/>
                          </a:ln>
                        </pic:spPr>
                      </pic:pic>
                    </a:graphicData>
                  </a:graphic>
                </wp:inline>
              </w:drawing>
            </w:r>
          </w:p>
        </w:tc>
      </w:tr>
      <w:tr w:rsidR="008973A3" w:rsidRPr="00750E48" w14:paraId="02F202D6" w14:textId="77777777">
        <w:tc>
          <w:tcPr>
            <w:tcW w:w="8505" w:type="dxa"/>
          </w:tcPr>
          <w:p w14:paraId="230B9F9A" w14:textId="77777777" w:rsidR="008973A3" w:rsidRPr="006169AF" w:rsidRDefault="008973A3">
            <w:pPr>
              <w:tabs>
                <w:tab w:val="left" w:pos="3256"/>
              </w:tabs>
              <w:spacing w:before="40"/>
              <w:rPr>
                <w:rFonts w:ascii="Arial" w:eastAsia="Arial" w:hAnsi="Arial" w:cs="Arial"/>
                <w:i/>
                <w:sz w:val="16"/>
                <w:szCs w:val="16"/>
              </w:rPr>
            </w:pPr>
          </w:p>
          <w:p w14:paraId="0FF69D02" w14:textId="77777777" w:rsidR="008973A3" w:rsidRPr="006169AF" w:rsidRDefault="007F7710">
            <w:pPr>
              <w:tabs>
                <w:tab w:val="left" w:pos="3256"/>
              </w:tabs>
              <w:spacing w:before="40"/>
              <w:rPr>
                <w:rFonts w:ascii="Calibri" w:eastAsia="Calibri" w:hAnsi="Calibri" w:cs="Calibri"/>
                <w:b/>
                <w:sz w:val="20"/>
                <w:szCs w:val="20"/>
              </w:rPr>
            </w:pPr>
            <w:r w:rsidRPr="006169AF">
              <w:rPr>
                <w:rFonts w:ascii="Arial" w:eastAsia="Arial" w:hAnsi="Arial" w:cs="Arial"/>
                <w:i/>
                <w:sz w:val="16"/>
                <w:szCs w:val="16"/>
              </w:rPr>
              <w:t>Fonte: Elaborazioni Ufficio Studi e Statistica CCIAA Treviso-Belluno su dati Unioncamere del Veneto - Indagine VenetoCongiuntura</w:t>
            </w:r>
          </w:p>
        </w:tc>
      </w:tr>
    </w:tbl>
    <w:p w14:paraId="19638C8F" w14:textId="77777777" w:rsidR="008973A3" w:rsidRPr="00750E48" w:rsidRDefault="008973A3">
      <w:pPr>
        <w:spacing w:before="240" w:after="120"/>
        <w:rPr>
          <w:rFonts w:ascii="Calibri" w:eastAsia="Calibri" w:hAnsi="Calibri" w:cs="Calibri"/>
          <w:b/>
          <w:highlight w:val="yellow"/>
        </w:rPr>
      </w:pPr>
    </w:p>
    <w:p w14:paraId="1B140200" w14:textId="77777777" w:rsidR="008973A3" w:rsidRPr="003E2D2E" w:rsidRDefault="007F7710" w:rsidP="00480D60">
      <w:pPr>
        <w:keepNext/>
        <w:spacing w:before="240" w:after="120"/>
        <w:rPr>
          <w:rFonts w:ascii="Calibri" w:eastAsia="Calibri" w:hAnsi="Calibri" w:cs="Calibri"/>
          <w:b/>
        </w:rPr>
      </w:pPr>
      <w:r w:rsidRPr="003E2D2E">
        <w:rPr>
          <w:rFonts w:ascii="Calibri" w:eastAsia="Calibri" w:hAnsi="Calibri" w:cs="Calibri"/>
          <w:b/>
        </w:rPr>
        <w:lastRenderedPageBreak/>
        <w:t>Il manifatturiero trevigiano e bellunese</w:t>
      </w:r>
    </w:p>
    <w:p w14:paraId="073151CA" w14:textId="77777777" w:rsidR="00C01506" w:rsidRDefault="00A73558">
      <w:pPr>
        <w:spacing w:before="240" w:after="120"/>
        <w:jc w:val="both"/>
        <w:rPr>
          <w:rFonts w:ascii="Calibri" w:eastAsia="Calibri" w:hAnsi="Calibri" w:cs="Calibri"/>
        </w:rPr>
      </w:pPr>
      <w:bookmarkStart w:id="1" w:name="_Hlk221779093"/>
      <w:r w:rsidRPr="003E2D2E">
        <w:rPr>
          <w:rFonts w:ascii="Calibri" w:eastAsia="Calibri" w:hAnsi="Calibri" w:cs="Calibri"/>
        </w:rPr>
        <w:t xml:space="preserve">Le dinamiche del </w:t>
      </w:r>
      <w:r w:rsidRPr="00DC3E34">
        <w:rPr>
          <w:rFonts w:ascii="Calibri" w:eastAsia="Calibri" w:hAnsi="Calibri" w:cs="Calibri"/>
          <w:b/>
          <w:bCs/>
        </w:rPr>
        <w:t>manifatturiero trevigiano</w:t>
      </w:r>
      <w:r w:rsidRPr="003E2D2E">
        <w:rPr>
          <w:rFonts w:ascii="Calibri" w:eastAsia="Calibri" w:hAnsi="Calibri" w:cs="Calibri"/>
        </w:rPr>
        <w:t xml:space="preserve"> rispecchiano molto l’andamento regionale. </w:t>
      </w:r>
      <w:r w:rsidR="009B679C" w:rsidRPr="003E2D2E">
        <w:rPr>
          <w:rFonts w:ascii="Calibri" w:eastAsia="Calibri" w:hAnsi="Calibri" w:cs="Calibri"/>
        </w:rPr>
        <w:t>Anche per la Marca l</w:t>
      </w:r>
      <w:r w:rsidRPr="003E2D2E">
        <w:rPr>
          <w:rFonts w:ascii="Calibri" w:eastAsia="Calibri" w:hAnsi="Calibri" w:cs="Calibri"/>
        </w:rPr>
        <w:t xml:space="preserve">a prima parte dell’anno era stata caratterizzata da una </w:t>
      </w:r>
      <w:r w:rsidRPr="003E2D2E">
        <w:rPr>
          <w:rFonts w:ascii="Calibri" w:eastAsia="Calibri" w:hAnsi="Calibri" w:cs="Calibri"/>
          <w:b/>
          <w:bCs/>
        </w:rPr>
        <w:t>produzione</w:t>
      </w:r>
      <w:r w:rsidRPr="003E2D2E">
        <w:rPr>
          <w:rFonts w:ascii="Calibri" w:eastAsia="Calibri" w:hAnsi="Calibri" w:cs="Calibri"/>
        </w:rPr>
        <w:t xml:space="preserve"> in calo su base annua</w:t>
      </w:r>
      <w:r w:rsidR="009B679C" w:rsidRPr="003E2D2E">
        <w:rPr>
          <w:rFonts w:ascii="Calibri" w:eastAsia="Calibri" w:hAnsi="Calibri" w:cs="Calibri"/>
        </w:rPr>
        <w:t xml:space="preserve">, con flessioni </w:t>
      </w:r>
      <w:r w:rsidR="003E2D2E">
        <w:rPr>
          <w:rFonts w:ascii="Calibri" w:eastAsia="Calibri" w:hAnsi="Calibri" w:cs="Calibri"/>
        </w:rPr>
        <w:t>importanti</w:t>
      </w:r>
      <w:r w:rsidR="009B679C" w:rsidRPr="003E2D2E">
        <w:rPr>
          <w:rFonts w:ascii="Calibri" w:eastAsia="Calibri" w:hAnsi="Calibri" w:cs="Calibri"/>
        </w:rPr>
        <w:t xml:space="preserve"> (-4,4%</w:t>
      </w:r>
      <w:r w:rsidR="003E2D2E" w:rsidRPr="003E2D2E">
        <w:rPr>
          <w:rFonts w:ascii="Calibri" w:eastAsia="Calibri" w:hAnsi="Calibri" w:cs="Calibri"/>
        </w:rPr>
        <w:t>)</w:t>
      </w:r>
      <w:r w:rsidR="009B679C" w:rsidRPr="003E2D2E">
        <w:rPr>
          <w:rFonts w:ascii="Calibri" w:eastAsia="Calibri" w:hAnsi="Calibri" w:cs="Calibri"/>
        </w:rPr>
        <w:t xml:space="preserve"> proprio nel primo trimestre. In quest’ultimo scorcio d’anno, invece, sembrano consolidarsi quei primi spiragli positivi intravisti in estate. La varia</w:t>
      </w:r>
      <w:r w:rsidR="003E2D2E" w:rsidRPr="003E2D2E">
        <w:rPr>
          <w:rFonts w:ascii="Calibri" w:eastAsia="Calibri" w:hAnsi="Calibri" w:cs="Calibri"/>
        </w:rPr>
        <w:t xml:space="preserve">zione tendenziale si attesta al </w:t>
      </w:r>
      <w:r w:rsidRPr="003E2D2E">
        <w:rPr>
          <w:rFonts w:ascii="Calibri" w:eastAsia="Calibri" w:hAnsi="Calibri" w:cs="Calibri"/>
        </w:rPr>
        <w:t>+2,0% portandosi con sé anche il recupero del grado di utilizzo degli impianti, ora prossimo al 73% dopo che si era mantenuto tra il 68 e il 69 per cento nei primi nove mesi dell’anno.</w:t>
      </w:r>
      <w:r w:rsidR="00C01506">
        <w:rPr>
          <w:rFonts w:ascii="Calibri" w:eastAsia="Calibri" w:hAnsi="Calibri" w:cs="Calibri"/>
        </w:rPr>
        <w:t xml:space="preserve"> </w:t>
      </w:r>
    </w:p>
    <w:p w14:paraId="6807ED70" w14:textId="77777777" w:rsidR="00C01506" w:rsidRDefault="00C01506">
      <w:pPr>
        <w:spacing w:before="240" w:after="120"/>
        <w:jc w:val="both"/>
        <w:rPr>
          <w:rFonts w:ascii="Calibri" w:eastAsia="Calibri" w:hAnsi="Calibri" w:cs="Calibri"/>
        </w:rPr>
      </w:pPr>
      <w:r>
        <w:rPr>
          <w:rFonts w:ascii="Calibri" w:eastAsia="Calibri" w:hAnsi="Calibri" w:cs="Calibri"/>
        </w:rPr>
        <w:t xml:space="preserve">Il recupero del </w:t>
      </w:r>
      <w:r w:rsidR="003E2D2E" w:rsidRPr="003E2D2E">
        <w:rPr>
          <w:rFonts w:ascii="Calibri" w:eastAsia="Calibri" w:hAnsi="Calibri" w:cs="Calibri"/>
          <w:b/>
          <w:bCs/>
        </w:rPr>
        <w:t>fatturato</w:t>
      </w:r>
      <w:r w:rsidR="003E2D2E" w:rsidRPr="003E2D2E">
        <w:rPr>
          <w:rFonts w:ascii="Calibri" w:eastAsia="Calibri" w:hAnsi="Calibri" w:cs="Calibri"/>
        </w:rPr>
        <w:t xml:space="preserve"> </w:t>
      </w:r>
      <w:r w:rsidR="003E2D2E">
        <w:rPr>
          <w:rFonts w:ascii="Calibri" w:eastAsia="Calibri" w:hAnsi="Calibri" w:cs="Calibri"/>
        </w:rPr>
        <w:t xml:space="preserve">si </w:t>
      </w:r>
      <w:r>
        <w:rPr>
          <w:rFonts w:ascii="Calibri" w:eastAsia="Calibri" w:hAnsi="Calibri" w:cs="Calibri"/>
        </w:rPr>
        <w:t xml:space="preserve">spinge fino al </w:t>
      </w:r>
      <w:r w:rsidR="003E2D2E" w:rsidRPr="003E2D2E">
        <w:rPr>
          <w:rFonts w:ascii="Calibri" w:eastAsia="Calibri" w:hAnsi="Calibri" w:cs="Calibri"/>
        </w:rPr>
        <w:t xml:space="preserve">+2,6%, sempre rispetto al quarto trimestre del 2024. </w:t>
      </w:r>
      <w:r w:rsidR="003E2D2E">
        <w:rPr>
          <w:rFonts w:ascii="Calibri" w:eastAsia="Calibri" w:hAnsi="Calibri" w:cs="Calibri"/>
        </w:rPr>
        <w:t>Fiato più corto</w:t>
      </w:r>
      <w:r>
        <w:rPr>
          <w:rFonts w:ascii="Calibri" w:eastAsia="Calibri" w:hAnsi="Calibri" w:cs="Calibri"/>
        </w:rPr>
        <w:t>, invece, si registra</w:t>
      </w:r>
      <w:r w:rsidR="003E2D2E">
        <w:rPr>
          <w:rFonts w:ascii="Calibri" w:eastAsia="Calibri" w:hAnsi="Calibri" w:cs="Calibri"/>
        </w:rPr>
        <w:t xml:space="preserve"> per </w:t>
      </w:r>
      <w:r w:rsidR="003E2D2E" w:rsidRPr="003E2D2E">
        <w:rPr>
          <w:rFonts w:ascii="Calibri" w:eastAsia="Calibri" w:hAnsi="Calibri" w:cs="Calibri"/>
        </w:rPr>
        <w:t xml:space="preserve">la </w:t>
      </w:r>
      <w:r w:rsidR="003E2D2E" w:rsidRPr="003E2D2E">
        <w:rPr>
          <w:rFonts w:ascii="Calibri" w:eastAsia="Calibri" w:hAnsi="Calibri" w:cs="Calibri"/>
          <w:b/>
          <w:bCs/>
        </w:rPr>
        <w:t>raccolta ordini</w:t>
      </w:r>
      <w:r w:rsidR="003E2D2E" w:rsidRPr="003E2D2E">
        <w:rPr>
          <w:rFonts w:ascii="Calibri" w:eastAsia="Calibri" w:hAnsi="Calibri" w:cs="Calibri"/>
        </w:rPr>
        <w:t xml:space="preserve">: </w:t>
      </w:r>
      <w:r w:rsidR="003E2D2E">
        <w:rPr>
          <w:rFonts w:ascii="Calibri" w:eastAsia="Calibri" w:hAnsi="Calibri" w:cs="Calibri"/>
        </w:rPr>
        <w:t>s</w:t>
      </w:r>
      <w:r w:rsidR="003E2D2E" w:rsidRPr="003E2D2E">
        <w:rPr>
          <w:rFonts w:ascii="Calibri" w:eastAsia="Calibri" w:hAnsi="Calibri" w:cs="Calibri"/>
        </w:rPr>
        <w:t>ia per gli ordinativi interni che per quelli esteri</w:t>
      </w:r>
      <w:r w:rsidR="003E2D2E">
        <w:rPr>
          <w:rFonts w:ascii="Calibri" w:eastAsia="Calibri" w:hAnsi="Calibri" w:cs="Calibri"/>
        </w:rPr>
        <w:t xml:space="preserve"> la variazione tendenziale si ferma al +1,3%. Va evidenziato però che con questo dato gli ordinativi esteri</w:t>
      </w:r>
      <w:r w:rsidR="003E2D2E" w:rsidRPr="003E2D2E">
        <w:rPr>
          <w:rFonts w:ascii="Calibri" w:eastAsia="Calibri" w:hAnsi="Calibri" w:cs="Calibri"/>
        </w:rPr>
        <w:t xml:space="preserve"> </w:t>
      </w:r>
      <w:r w:rsidR="003E2D2E">
        <w:rPr>
          <w:rFonts w:ascii="Calibri" w:eastAsia="Calibri" w:hAnsi="Calibri" w:cs="Calibri"/>
        </w:rPr>
        <w:t xml:space="preserve">interrompono una sequenza negativa che perdurava da tre trimestri. </w:t>
      </w:r>
      <w:r>
        <w:rPr>
          <w:rFonts w:ascii="Calibri" w:eastAsia="Calibri" w:hAnsi="Calibri" w:cs="Calibri"/>
        </w:rPr>
        <w:t>L</w:t>
      </w:r>
      <w:r w:rsidR="003E2D2E">
        <w:rPr>
          <w:rFonts w:ascii="Calibri" w:eastAsia="Calibri" w:hAnsi="Calibri" w:cs="Calibri"/>
        </w:rPr>
        <w:t>a performance inferiore del trevigiano</w:t>
      </w:r>
      <w:r>
        <w:rPr>
          <w:rFonts w:ascii="Calibri" w:eastAsia="Calibri" w:hAnsi="Calibri" w:cs="Calibri"/>
        </w:rPr>
        <w:t>, su questo indicatore, rispetto al +3,9% regionale, trova spiegazione nella composizione settoriale del territorio. Il legno arredo, molto presente in provincia di Treviso, è fra i settori che meno beneficia del recupero della domanda estera: infatti l’incremento su base tendenziale della raccolta ordini dall’estero si ferma al +0,4%.</w:t>
      </w:r>
    </w:p>
    <w:p w14:paraId="6BECEE94" w14:textId="627F99DC" w:rsidR="00A73558" w:rsidRDefault="00C01506">
      <w:pPr>
        <w:spacing w:before="240" w:after="120"/>
        <w:jc w:val="both"/>
        <w:rPr>
          <w:rFonts w:ascii="Calibri" w:eastAsia="Calibri" w:hAnsi="Calibri" w:cs="Calibri"/>
        </w:rPr>
      </w:pPr>
      <w:r>
        <w:rPr>
          <w:rFonts w:ascii="Calibri" w:eastAsia="Calibri" w:hAnsi="Calibri" w:cs="Calibri"/>
        </w:rPr>
        <w:t>Nonostante ciò, anche per il manifatturiero trevigiano si registra un positivo allungamento dell’orizzonte di produzione assicurato dal portafoglio ordini, oggi consistente in quasi 59 giorni, contro i 56 di fine 2024</w:t>
      </w:r>
      <w:r w:rsidR="003E2D2E" w:rsidRPr="003E2D2E">
        <w:rPr>
          <w:rFonts w:ascii="Calibri" w:eastAsia="Calibri" w:hAnsi="Calibri" w:cs="Calibri"/>
        </w:rPr>
        <w:t>.</w:t>
      </w:r>
    </w:p>
    <w:p w14:paraId="2BBA0814" w14:textId="267F613B" w:rsidR="00E07CCC" w:rsidRDefault="00E07CCC" w:rsidP="0025477B">
      <w:pPr>
        <w:spacing w:before="240" w:after="120"/>
        <w:jc w:val="both"/>
        <w:rPr>
          <w:rFonts w:ascii="Calibri" w:eastAsia="Calibri" w:hAnsi="Calibri" w:cs="Calibri"/>
        </w:rPr>
      </w:pPr>
      <w:r>
        <w:rPr>
          <w:rFonts w:ascii="Calibri" w:eastAsia="Calibri" w:hAnsi="Calibri" w:cs="Calibri"/>
        </w:rPr>
        <w:t xml:space="preserve">Nelle previsioni per i primi tre mesi del 2026 </w:t>
      </w:r>
      <w:r w:rsidR="0025477B">
        <w:rPr>
          <w:rFonts w:ascii="Calibri" w:eastAsia="Calibri" w:hAnsi="Calibri" w:cs="Calibri"/>
        </w:rPr>
        <w:t xml:space="preserve">anche </w:t>
      </w:r>
      <w:r>
        <w:rPr>
          <w:rFonts w:ascii="Calibri" w:eastAsia="Calibri" w:hAnsi="Calibri" w:cs="Calibri"/>
        </w:rPr>
        <w:t xml:space="preserve">il </w:t>
      </w:r>
      <w:r w:rsidRPr="0025477B">
        <w:rPr>
          <w:rFonts w:ascii="Calibri" w:eastAsia="Calibri" w:hAnsi="Calibri" w:cs="Calibri"/>
          <w:i/>
          <w:iCs/>
        </w:rPr>
        <w:t>sentiment</w:t>
      </w:r>
      <w:r>
        <w:rPr>
          <w:rFonts w:ascii="Calibri" w:eastAsia="Calibri" w:hAnsi="Calibri" w:cs="Calibri"/>
        </w:rPr>
        <w:t xml:space="preserve"> degli imprenditori trevigiani è in linea col dato regionale. Si attenuano le inquietudini rilevate a giugno, che avevano portato ad ingrossare le fila dei pessimisti, quasi elidendo quelle degli ottimisti; ma non scompare la consapevolezza di quanto restino complessi e incerti gli scenari, </w:t>
      </w:r>
      <w:r w:rsidR="0025477B">
        <w:rPr>
          <w:rFonts w:ascii="Calibri" w:eastAsia="Calibri" w:hAnsi="Calibri" w:cs="Calibri"/>
        </w:rPr>
        <w:t xml:space="preserve">considerato che </w:t>
      </w:r>
      <w:r>
        <w:rPr>
          <w:rFonts w:ascii="Calibri" w:eastAsia="Calibri" w:hAnsi="Calibri" w:cs="Calibri"/>
        </w:rPr>
        <w:t xml:space="preserve">la maggioranza relativa di imprenditori </w:t>
      </w:r>
      <w:r w:rsidR="0025477B">
        <w:rPr>
          <w:rFonts w:ascii="Calibri" w:eastAsia="Calibri" w:hAnsi="Calibri" w:cs="Calibri"/>
        </w:rPr>
        <w:t>intervistati ritiene plausibile soprattutto uno scenario di stazionarietà (quasi 1 imprenditore su 2 per la domanda estera).</w:t>
      </w:r>
      <w:r>
        <w:rPr>
          <w:rFonts w:ascii="Calibri" w:eastAsia="Calibri" w:hAnsi="Calibri" w:cs="Calibri"/>
        </w:rPr>
        <w:t xml:space="preserve"> Nel dettaglio:</w:t>
      </w:r>
    </w:p>
    <w:p w14:paraId="1AD4B857" w14:textId="466141C6" w:rsidR="00E07CCC" w:rsidRPr="006E4090" w:rsidRDefault="00E07CCC" w:rsidP="00E07CCC">
      <w:pPr>
        <w:pStyle w:val="Paragrafoelenco"/>
        <w:numPr>
          <w:ilvl w:val="0"/>
          <w:numId w:val="4"/>
        </w:numPr>
        <w:spacing w:before="240" w:after="120"/>
        <w:jc w:val="both"/>
        <w:rPr>
          <w:rFonts w:cs="Calibri"/>
        </w:rPr>
      </w:pPr>
      <w:r>
        <w:rPr>
          <w:rFonts w:cs="Calibri"/>
        </w:rPr>
        <w:t xml:space="preserve">Per la </w:t>
      </w:r>
      <w:r w:rsidRPr="00350A9A">
        <w:rPr>
          <w:rFonts w:cs="Calibri"/>
          <w:b/>
          <w:bCs/>
        </w:rPr>
        <w:t>produzione</w:t>
      </w:r>
      <w:r>
        <w:rPr>
          <w:rFonts w:cs="Calibri"/>
        </w:rPr>
        <w:t xml:space="preserve">, i giudizi di crescita riconquistano il </w:t>
      </w:r>
      <w:r w:rsidR="0025477B">
        <w:rPr>
          <w:rFonts w:cs="Calibri"/>
        </w:rPr>
        <w:t>39</w:t>
      </w:r>
      <w:r>
        <w:rPr>
          <w:rFonts w:cs="Calibri"/>
        </w:rPr>
        <w:t>% degli intervistati (erano scesi al 3</w:t>
      </w:r>
      <w:r w:rsidR="0025477B">
        <w:rPr>
          <w:rFonts w:cs="Calibri"/>
        </w:rPr>
        <w:t>0</w:t>
      </w:r>
      <w:r>
        <w:rPr>
          <w:rFonts w:cs="Calibri"/>
        </w:rPr>
        <w:t>% a giugno 2025)</w:t>
      </w:r>
      <w:r w:rsidR="0025477B">
        <w:rPr>
          <w:rFonts w:cs="Calibri"/>
        </w:rPr>
        <w:t xml:space="preserve"> e tornano al medesimo “clima di fiducia” di fine 2024</w:t>
      </w:r>
      <w:r>
        <w:rPr>
          <w:rFonts w:cs="Calibri"/>
        </w:rPr>
        <w:t xml:space="preserve">; </w:t>
      </w:r>
      <w:r w:rsidR="0025477B">
        <w:rPr>
          <w:rFonts w:cs="Calibri"/>
        </w:rPr>
        <w:t>tra giugno e dicembre scendono specularmente i giudizi di flessione (</w:t>
      </w:r>
      <w:r>
        <w:rPr>
          <w:rFonts w:cs="Calibri"/>
        </w:rPr>
        <w:t>dal 28% al 2</w:t>
      </w:r>
      <w:r w:rsidR="0025477B">
        <w:rPr>
          <w:rFonts w:cs="Calibri"/>
        </w:rPr>
        <w:t>2</w:t>
      </w:r>
      <w:r>
        <w:rPr>
          <w:rFonts w:cs="Calibri"/>
        </w:rPr>
        <w:t>%</w:t>
      </w:r>
      <w:r w:rsidR="0025477B">
        <w:rPr>
          <w:rFonts w:cs="Calibri"/>
        </w:rPr>
        <w:t xml:space="preserve"> degli intervistati)</w:t>
      </w:r>
      <w:r>
        <w:rPr>
          <w:rFonts w:cs="Calibri"/>
        </w:rPr>
        <w:t>, mentre</w:t>
      </w:r>
      <w:r w:rsidRPr="006E4090">
        <w:rPr>
          <w:rFonts w:cs="Calibri"/>
        </w:rPr>
        <w:t xml:space="preserve"> le indicazioni di stazionarietà </w:t>
      </w:r>
      <w:r w:rsidR="0025477B">
        <w:rPr>
          <w:rFonts w:cs="Calibri"/>
        </w:rPr>
        <w:t xml:space="preserve">conoscono solo una lieve limatura </w:t>
      </w:r>
      <w:r w:rsidRPr="006E4090">
        <w:rPr>
          <w:rFonts w:cs="Calibri"/>
        </w:rPr>
        <w:t xml:space="preserve">(dal </w:t>
      </w:r>
      <w:r w:rsidR="0025477B">
        <w:rPr>
          <w:rFonts w:cs="Calibri"/>
        </w:rPr>
        <w:t>42</w:t>
      </w:r>
      <w:r w:rsidRPr="006E4090">
        <w:rPr>
          <w:rFonts w:cs="Calibri"/>
        </w:rPr>
        <w:t>% al 39%</w:t>
      </w:r>
      <w:r>
        <w:rPr>
          <w:rFonts w:cs="Calibri"/>
        </w:rPr>
        <w:t>)</w:t>
      </w:r>
      <w:r w:rsidRPr="006E4090">
        <w:rPr>
          <w:rFonts w:cs="Calibri"/>
        </w:rPr>
        <w:t>;</w:t>
      </w:r>
    </w:p>
    <w:p w14:paraId="6DB0A99C" w14:textId="4C2F0945" w:rsidR="00E07CCC" w:rsidRDefault="00E07CCC" w:rsidP="00E07CCC">
      <w:pPr>
        <w:pStyle w:val="Paragrafoelenco"/>
        <w:numPr>
          <w:ilvl w:val="0"/>
          <w:numId w:val="4"/>
        </w:numPr>
        <w:spacing w:before="240" w:after="120"/>
        <w:jc w:val="both"/>
        <w:rPr>
          <w:rFonts w:cs="Calibri"/>
        </w:rPr>
      </w:pPr>
      <w:r>
        <w:rPr>
          <w:rFonts w:cs="Calibri"/>
        </w:rPr>
        <w:t xml:space="preserve">Per il </w:t>
      </w:r>
      <w:r w:rsidRPr="00350A9A">
        <w:rPr>
          <w:rFonts w:cs="Calibri"/>
          <w:b/>
          <w:bCs/>
        </w:rPr>
        <w:t>fatturato</w:t>
      </w:r>
      <w:r>
        <w:rPr>
          <w:rFonts w:cs="Calibri"/>
        </w:rPr>
        <w:t xml:space="preserve"> la distribuzione dei giudizi è analoga</w:t>
      </w:r>
      <w:r w:rsidR="008F0BDD">
        <w:rPr>
          <w:rFonts w:cs="Calibri"/>
        </w:rPr>
        <w:t xml:space="preserve"> ma con qualche differenza importante</w:t>
      </w:r>
      <w:r>
        <w:rPr>
          <w:rFonts w:cs="Calibri"/>
        </w:rPr>
        <w:t xml:space="preserve">: gli “ottimisti” passano dal </w:t>
      </w:r>
      <w:r w:rsidR="008F0BDD">
        <w:rPr>
          <w:rFonts w:cs="Calibri"/>
        </w:rPr>
        <w:t>32,5</w:t>
      </w:r>
      <w:r>
        <w:rPr>
          <w:rFonts w:cs="Calibri"/>
        </w:rPr>
        <w:t xml:space="preserve">% della survey di giugno al </w:t>
      </w:r>
      <w:r w:rsidR="008F0BDD">
        <w:rPr>
          <w:rFonts w:cs="Calibri"/>
        </w:rPr>
        <w:t>39</w:t>
      </w:r>
      <w:r>
        <w:rPr>
          <w:rFonts w:cs="Calibri"/>
        </w:rPr>
        <w:t>% della presente survey</w:t>
      </w:r>
      <w:r w:rsidR="008F0BDD">
        <w:rPr>
          <w:rFonts w:cs="Calibri"/>
        </w:rPr>
        <w:t>, ma il ridimensionamento de</w:t>
      </w:r>
      <w:r>
        <w:rPr>
          <w:rFonts w:cs="Calibri"/>
        </w:rPr>
        <w:t>i “pessimisti”</w:t>
      </w:r>
      <w:r w:rsidR="008F0BDD">
        <w:rPr>
          <w:rFonts w:cs="Calibri"/>
        </w:rPr>
        <w:t xml:space="preserve"> non è speculare: passano dal</w:t>
      </w:r>
      <w:r>
        <w:rPr>
          <w:rFonts w:cs="Calibri"/>
        </w:rPr>
        <w:t xml:space="preserve"> 2</w:t>
      </w:r>
      <w:r w:rsidR="008F0BDD">
        <w:rPr>
          <w:rFonts w:cs="Calibri"/>
        </w:rPr>
        <w:t>8</w:t>
      </w:r>
      <w:r>
        <w:rPr>
          <w:rFonts w:cs="Calibri"/>
        </w:rPr>
        <w:t>% al 2</w:t>
      </w:r>
      <w:r w:rsidR="008F0BDD">
        <w:rPr>
          <w:rFonts w:cs="Calibri"/>
        </w:rPr>
        <w:t>5</w:t>
      </w:r>
      <w:r>
        <w:rPr>
          <w:rFonts w:cs="Calibri"/>
        </w:rPr>
        <w:t xml:space="preserve">%. </w:t>
      </w:r>
      <w:r w:rsidR="008F0BDD">
        <w:rPr>
          <w:rFonts w:cs="Calibri"/>
        </w:rPr>
        <w:t xml:space="preserve"> Dunque, ancora un’azienda trevigiana su quattro appartenente al </w:t>
      </w:r>
      <w:r w:rsidR="008F0BDD">
        <w:rPr>
          <w:rFonts w:cs="Calibri"/>
        </w:rPr>
        <w:lastRenderedPageBreak/>
        <w:t>comparto manifatturiero sconta una possibile riduzione delle vendite. In questa polarizzazione, si assottiglia leggermente anche il fronte della stazionarietà, la cui quota di giudizi passa dal 40% al 36%</w:t>
      </w:r>
      <w:r>
        <w:rPr>
          <w:rFonts w:cs="Calibri"/>
        </w:rPr>
        <w:t>;</w:t>
      </w:r>
    </w:p>
    <w:p w14:paraId="2D67B4DE" w14:textId="50944DA0" w:rsidR="00E07CCC" w:rsidRPr="009926A6" w:rsidRDefault="00E07CCC" w:rsidP="00521045">
      <w:pPr>
        <w:pStyle w:val="Paragrafoelenco"/>
        <w:numPr>
          <w:ilvl w:val="0"/>
          <w:numId w:val="4"/>
        </w:numPr>
        <w:spacing w:before="240" w:after="120"/>
        <w:jc w:val="both"/>
        <w:rPr>
          <w:rFonts w:cs="Calibri"/>
        </w:rPr>
      </w:pPr>
      <w:r w:rsidRPr="00521045">
        <w:rPr>
          <w:rFonts w:cs="Calibri"/>
        </w:rPr>
        <w:t xml:space="preserve">Le previsioni sulla </w:t>
      </w:r>
      <w:r w:rsidRPr="00521045">
        <w:rPr>
          <w:rFonts w:cs="Calibri"/>
          <w:b/>
          <w:bCs/>
        </w:rPr>
        <w:t>domanda</w:t>
      </w:r>
      <w:r w:rsidRPr="00521045">
        <w:rPr>
          <w:rFonts w:cs="Calibri"/>
        </w:rPr>
        <w:t xml:space="preserve"> </w:t>
      </w:r>
      <w:r w:rsidR="008F0BDD" w:rsidRPr="00521045">
        <w:rPr>
          <w:rFonts w:cs="Calibri"/>
        </w:rPr>
        <w:t xml:space="preserve">incorporano ulteriore incertezza. Per gli </w:t>
      </w:r>
      <w:r w:rsidR="008F0BDD" w:rsidRPr="00521045">
        <w:rPr>
          <w:rFonts w:cs="Calibri"/>
          <w:i/>
          <w:iCs/>
        </w:rPr>
        <w:t>ordini raccolti dal mercato italiano</w:t>
      </w:r>
      <w:r w:rsidR="008F0BDD" w:rsidRPr="00521045">
        <w:rPr>
          <w:rFonts w:cs="Calibri"/>
        </w:rPr>
        <w:t xml:space="preserve"> gli “ottimisti” passano dal 28% della survey di giugno al 36,5% della presente survey, ma anche in questo caso </w:t>
      </w:r>
      <w:r w:rsidR="00521045" w:rsidRPr="00521045">
        <w:rPr>
          <w:rFonts w:cs="Calibri"/>
        </w:rPr>
        <w:t>la quota di giudizi pessimisti non si riduce in modo speculare (scivola solo dal</w:t>
      </w:r>
      <w:r w:rsidR="008F0BDD" w:rsidRPr="00521045">
        <w:rPr>
          <w:rFonts w:cs="Calibri"/>
        </w:rPr>
        <w:t xml:space="preserve"> 27% al 23%</w:t>
      </w:r>
      <w:r w:rsidR="00521045" w:rsidRPr="00521045">
        <w:rPr>
          <w:rFonts w:cs="Calibri"/>
        </w:rPr>
        <w:t>)</w:t>
      </w:r>
      <w:r w:rsidR="008F0BDD" w:rsidRPr="00521045">
        <w:rPr>
          <w:rFonts w:cs="Calibri"/>
        </w:rPr>
        <w:t xml:space="preserve">. </w:t>
      </w:r>
      <w:r w:rsidR="00521045" w:rsidRPr="00521045">
        <w:rPr>
          <w:rFonts w:cs="Calibri"/>
        </w:rPr>
        <w:t>Un’ampia maggioranza relativa (oltre il 40% degli intervistati) ritiene che sul fronte domanda interna continueremo a galleggiare n</w:t>
      </w:r>
      <w:r w:rsidR="008F0BDD" w:rsidRPr="00521045">
        <w:rPr>
          <w:rFonts w:cs="Calibri"/>
        </w:rPr>
        <w:t>ella stazionarietà</w:t>
      </w:r>
      <w:r w:rsidR="00521045" w:rsidRPr="00521045">
        <w:rPr>
          <w:rFonts w:cs="Calibri"/>
        </w:rPr>
        <w:t>.</w:t>
      </w:r>
      <w:r>
        <w:rPr>
          <w:rFonts w:cs="Calibri"/>
        </w:rPr>
        <w:t xml:space="preserve"> Per gli </w:t>
      </w:r>
      <w:r w:rsidRPr="00350A9A">
        <w:rPr>
          <w:rFonts w:cs="Calibri"/>
          <w:i/>
          <w:iCs/>
        </w:rPr>
        <w:t>ordinativi esteri</w:t>
      </w:r>
      <w:r>
        <w:rPr>
          <w:rFonts w:cs="Calibri"/>
        </w:rPr>
        <w:t xml:space="preserve"> i giudizi di stazionarietà arrivano a coinvolgere il 4</w:t>
      </w:r>
      <w:r w:rsidR="00521045">
        <w:rPr>
          <w:rFonts w:cs="Calibri"/>
        </w:rPr>
        <w:t>7</w:t>
      </w:r>
      <w:r>
        <w:rPr>
          <w:rFonts w:cs="Calibri"/>
        </w:rPr>
        <w:t xml:space="preserve">% delle imprese intervistate: però, negli scenari descritti, </w:t>
      </w:r>
      <w:r w:rsidR="00521045">
        <w:rPr>
          <w:rFonts w:cs="Calibri"/>
        </w:rPr>
        <w:t xml:space="preserve">e come rilevato per il Veneto, le </w:t>
      </w:r>
      <w:r>
        <w:rPr>
          <w:rFonts w:cs="Calibri"/>
        </w:rPr>
        <w:t xml:space="preserve">attese di crescita </w:t>
      </w:r>
      <w:r w:rsidR="00521045">
        <w:rPr>
          <w:rFonts w:cs="Calibri"/>
        </w:rPr>
        <w:t xml:space="preserve">della domanda estera </w:t>
      </w:r>
      <w:r>
        <w:rPr>
          <w:rFonts w:cs="Calibri"/>
        </w:rPr>
        <w:t xml:space="preserve">si riportano al </w:t>
      </w:r>
      <w:r w:rsidR="00521045">
        <w:rPr>
          <w:rFonts w:cs="Calibri"/>
        </w:rPr>
        <w:t>39</w:t>
      </w:r>
      <w:r>
        <w:rPr>
          <w:rFonts w:cs="Calibri"/>
        </w:rPr>
        <w:t>% degli intervistati (contro il 3</w:t>
      </w:r>
      <w:r w:rsidR="0076004C">
        <w:rPr>
          <w:rFonts w:cs="Calibri"/>
        </w:rPr>
        <w:t>1</w:t>
      </w:r>
      <w:r>
        <w:rPr>
          <w:rFonts w:cs="Calibri"/>
        </w:rPr>
        <w:t>% di giugno ’25), mentre quelle di flessione passano dal 2</w:t>
      </w:r>
      <w:r w:rsidR="00521045">
        <w:rPr>
          <w:rFonts w:cs="Calibri"/>
        </w:rPr>
        <w:t>4</w:t>
      </w:r>
      <w:r>
        <w:rPr>
          <w:rFonts w:cs="Calibri"/>
        </w:rPr>
        <w:t>% al 1</w:t>
      </w:r>
      <w:r w:rsidR="00521045">
        <w:rPr>
          <w:rFonts w:cs="Calibri"/>
        </w:rPr>
        <w:t>5</w:t>
      </w:r>
      <w:r>
        <w:rPr>
          <w:rFonts w:cs="Calibri"/>
        </w:rPr>
        <w:t xml:space="preserve">% degli intervistati.  </w:t>
      </w:r>
      <w:r w:rsidRPr="009926A6">
        <w:rPr>
          <w:rFonts w:cs="Calibri"/>
        </w:rPr>
        <w:t xml:space="preserve">  </w:t>
      </w:r>
    </w:p>
    <w:bookmarkEnd w:id="1"/>
    <w:p w14:paraId="16B85FFA" w14:textId="67278D2F" w:rsidR="005E4978" w:rsidRDefault="00DC3E34" w:rsidP="00DC3E34">
      <w:pPr>
        <w:spacing w:before="240" w:after="120"/>
        <w:jc w:val="both"/>
        <w:rPr>
          <w:rFonts w:ascii="Calibri" w:eastAsia="Calibri" w:hAnsi="Calibri" w:cs="Calibri"/>
        </w:rPr>
      </w:pPr>
      <w:r w:rsidRPr="003E2D2E">
        <w:rPr>
          <w:rFonts w:ascii="Calibri" w:eastAsia="Calibri" w:hAnsi="Calibri" w:cs="Calibri"/>
        </w:rPr>
        <w:t xml:space="preserve">Le dinamiche del </w:t>
      </w:r>
      <w:r w:rsidRPr="005E4978">
        <w:rPr>
          <w:rFonts w:ascii="Calibri" w:eastAsia="Calibri" w:hAnsi="Calibri" w:cs="Calibri"/>
          <w:b/>
          <w:bCs/>
        </w:rPr>
        <w:t>manifatturiero bellunese</w:t>
      </w:r>
      <w:r>
        <w:rPr>
          <w:rFonts w:ascii="Calibri" w:eastAsia="Calibri" w:hAnsi="Calibri" w:cs="Calibri"/>
        </w:rPr>
        <w:t xml:space="preserve"> risultano anch’esse positive nell’ultimo scorcio d’anno. Dopo otto trimestri consecutivi di flessione e due di stagnazione, la </w:t>
      </w:r>
      <w:r w:rsidRPr="005E4978">
        <w:rPr>
          <w:rFonts w:ascii="Calibri" w:eastAsia="Calibri" w:hAnsi="Calibri" w:cs="Calibri"/>
          <w:b/>
          <w:bCs/>
        </w:rPr>
        <w:t>produzione</w:t>
      </w:r>
      <w:r>
        <w:rPr>
          <w:rFonts w:ascii="Calibri" w:eastAsia="Calibri" w:hAnsi="Calibri" w:cs="Calibri"/>
        </w:rPr>
        <w:t xml:space="preserve"> ora torna a vedere una variazione tendenziale del +2,8% che traina al rialzo anche il grado di utilizzo degli impianti: ora al 71,4% quando nei tre trimestri precedenti era scesa tra il 65 e il 67%, lasciando intendere in modo chiaro che un terzo della capacità produttiva del territorio risultava </w:t>
      </w:r>
      <w:r w:rsidR="005E4978">
        <w:rPr>
          <w:rFonts w:ascii="Calibri" w:eastAsia="Calibri" w:hAnsi="Calibri" w:cs="Calibri"/>
        </w:rPr>
        <w:t xml:space="preserve">inespresso. Siamo però ancora sotto i livelli registrati a fine 2022 e fine 2023, quando il grado di utilizzo degli impianti viaggiava tra il 72-73 per cento, differenza che si fa più marcata se si prende a riferimento </w:t>
      </w:r>
      <w:r w:rsidR="00BE1537">
        <w:rPr>
          <w:rFonts w:ascii="Calibri" w:eastAsia="Calibri" w:hAnsi="Calibri" w:cs="Calibri"/>
        </w:rPr>
        <w:t xml:space="preserve">la seconda parte del </w:t>
      </w:r>
      <w:r w:rsidR="005E4978">
        <w:rPr>
          <w:rFonts w:ascii="Calibri" w:eastAsia="Calibri" w:hAnsi="Calibri" w:cs="Calibri"/>
        </w:rPr>
        <w:t>2019 (in epoca pre-Covid), quando questo valore risultava superiore al 75%.</w:t>
      </w:r>
    </w:p>
    <w:p w14:paraId="5444C4A1" w14:textId="22176EBC" w:rsidR="000C6266" w:rsidRDefault="00DC3E34" w:rsidP="00DC3E34">
      <w:pPr>
        <w:spacing w:before="240" w:after="120"/>
        <w:jc w:val="both"/>
        <w:rPr>
          <w:rFonts w:ascii="Calibri" w:eastAsia="Calibri" w:hAnsi="Calibri" w:cs="Calibri"/>
        </w:rPr>
      </w:pPr>
      <w:r>
        <w:rPr>
          <w:rFonts w:ascii="Calibri" w:eastAsia="Calibri" w:hAnsi="Calibri" w:cs="Calibri"/>
        </w:rPr>
        <w:t xml:space="preserve">Il recupero del </w:t>
      </w:r>
      <w:r w:rsidRPr="003E2D2E">
        <w:rPr>
          <w:rFonts w:ascii="Calibri" w:eastAsia="Calibri" w:hAnsi="Calibri" w:cs="Calibri"/>
          <w:b/>
          <w:bCs/>
        </w:rPr>
        <w:t>fatturato</w:t>
      </w:r>
      <w:r w:rsidRPr="003E2D2E">
        <w:rPr>
          <w:rFonts w:ascii="Calibri" w:eastAsia="Calibri" w:hAnsi="Calibri" w:cs="Calibri"/>
        </w:rPr>
        <w:t xml:space="preserve"> </w:t>
      </w:r>
      <w:r w:rsidR="005E4978">
        <w:rPr>
          <w:rFonts w:ascii="Calibri" w:eastAsia="Calibri" w:hAnsi="Calibri" w:cs="Calibri"/>
        </w:rPr>
        <w:t>è a doppia velocità: bene il fatturato estero, la cui variazione tendenziale si attesta al +3,3% (rispetto allo stesso trimestre del 2024)</w:t>
      </w:r>
      <w:r w:rsidR="001E4360">
        <w:rPr>
          <w:rFonts w:ascii="Calibri" w:eastAsia="Calibri" w:hAnsi="Calibri" w:cs="Calibri"/>
        </w:rPr>
        <w:t xml:space="preserve">, ancora al palo il fatturato totale (+0,3%). </w:t>
      </w:r>
      <w:r w:rsidR="000A38A4">
        <w:rPr>
          <w:rFonts w:ascii="Calibri" w:eastAsia="Calibri" w:hAnsi="Calibri" w:cs="Calibri"/>
        </w:rPr>
        <w:t xml:space="preserve">Il </w:t>
      </w:r>
      <w:r w:rsidR="00B60C0F">
        <w:rPr>
          <w:rFonts w:ascii="Calibri" w:eastAsia="Calibri" w:hAnsi="Calibri" w:cs="Calibri"/>
        </w:rPr>
        <w:t xml:space="preserve">recupero del fatturato estero </w:t>
      </w:r>
      <w:r w:rsidR="000C6266">
        <w:rPr>
          <w:rFonts w:ascii="Calibri" w:eastAsia="Calibri" w:hAnsi="Calibri" w:cs="Calibri"/>
        </w:rPr>
        <w:t>è sostenuto</w:t>
      </w:r>
      <w:r w:rsidR="00B60C0F">
        <w:rPr>
          <w:rFonts w:ascii="Calibri" w:eastAsia="Calibri" w:hAnsi="Calibri" w:cs="Calibri"/>
        </w:rPr>
        <w:t xml:space="preserve">, in particolare, </w:t>
      </w:r>
      <w:r w:rsidR="000C6266">
        <w:rPr>
          <w:rFonts w:ascii="Calibri" w:eastAsia="Calibri" w:hAnsi="Calibri" w:cs="Calibri"/>
        </w:rPr>
        <w:t>dalle aziende di maggiori dimensioni (sopra i 50 addetti) operanti nella metalmeccanica (dunque “catena del freddo</w:t>
      </w:r>
      <w:r w:rsidR="0079179F">
        <w:rPr>
          <w:rFonts w:ascii="Calibri" w:eastAsia="Calibri" w:hAnsi="Calibri" w:cs="Calibri"/>
        </w:rPr>
        <w:t>”</w:t>
      </w:r>
      <w:r w:rsidR="000C6266">
        <w:rPr>
          <w:rFonts w:ascii="Calibri" w:eastAsia="Calibri" w:hAnsi="Calibri" w:cs="Calibri"/>
        </w:rPr>
        <w:t xml:space="preserve">), con </w:t>
      </w:r>
      <w:r w:rsidR="00060608">
        <w:rPr>
          <w:rFonts w:ascii="Calibri" w:eastAsia="Calibri" w:hAnsi="Calibri" w:cs="Calibri"/>
        </w:rPr>
        <w:t xml:space="preserve">però solo </w:t>
      </w:r>
      <w:r w:rsidR="000C6266">
        <w:rPr>
          <w:rFonts w:ascii="Calibri" w:eastAsia="Calibri" w:hAnsi="Calibri" w:cs="Calibri"/>
        </w:rPr>
        <w:t xml:space="preserve">una </w:t>
      </w:r>
      <w:r w:rsidR="00060608">
        <w:rPr>
          <w:rFonts w:ascii="Calibri" w:eastAsia="Calibri" w:hAnsi="Calibri" w:cs="Calibri"/>
        </w:rPr>
        <w:t xml:space="preserve">parziale </w:t>
      </w:r>
      <w:r w:rsidR="000C6266">
        <w:rPr>
          <w:rFonts w:ascii="Calibri" w:eastAsia="Calibri" w:hAnsi="Calibri" w:cs="Calibri"/>
        </w:rPr>
        <w:t>trasmissione dei benefici all’aggregato totale del fatturato, anche con riferimento alla piccola impresa</w:t>
      </w:r>
      <w:r w:rsidR="00060608">
        <w:rPr>
          <w:rFonts w:ascii="Calibri" w:eastAsia="Calibri" w:hAnsi="Calibri" w:cs="Calibri"/>
        </w:rPr>
        <w:t xml:space="preserve">, </w:t>
      </w:r>
      <w:r w:rsidR="000C6266">
        <w:rPr>
          <w:rFonts w:ascii="Calibri" w:eastAsia="Calibri" w:hAnsi="Calibri" w:cs="Calibri"/>
        </w:rPr>
        <w:t xml:space="preserve">in particolare </w:t>
      </w:r>
      <w:r w:rsidR="00060608">
        <w:rPr>
          <w:rFonts w:ascii="Calibri" w:eastAsia="Calibri" w:hAnsi="Calibri" w:cs="Calibri"/>
        </w:rPr>
        <w:t xml:space="preserve">nell’ambito delle </w:t>
      </w:r>
      <w:r w:rsidR="000C6266">
        <w:rPr>
          <w:rFonts w:ascii="Calibri" w:eastAsia="Calibri" w:hAnsi="Calibri" w:cs="Calibri"/>
        </w:rPr>
        <w:t xml:space="preserve">apparecchiature elettroniche. </w:t>
      </w:r>
      <w:r w:rsidR="000A38A4">
        <w:rPr>
          <w:rFonts w:ascii="Calibri" w:eastAsia="Calibri" w:hAnsi="Calibri" w:cs="Calibri"/>
        </w:rPr>
        <w:t xml:space="preserve">E’ questo l’aspetto che spiega, principalmente, la forbice tra i due indicatori. Ulteriormente </w:t>
      </w:r>
      <w:r w:rsidR="00060608">
        <w:rPr>
          <w:rFonts w:ascii="Calibri" w:eastAsia="Calibri" w:hAnsi="Calibri" w:cs="Calibri"/>
        </w:rPr>
        <w:t xml:space="preserve">accentuata </w:t>
      </w:r>
      <w:r w:rsidR="000A38A4">
        <w:rPr>
          <w:rFonts w:ascii="Calibri" w:eastAsia="Calibri" w:hAnsi="Calibri" w:cs="Calibri"/>
        </w:rPr>
        <w:t xml:space="preserve">poi </w:t>
      </w:r>
      <w:r w:rsidR="00060608">
        <w:rPr>
          <w:rFonts w:ascii="Calibri" w:eastAsia="Calibri" w:hAnsi="Calibri" w:cs="Calibri"/>
        </w:rPr>
        <w:t>dall’</w:t>
      </w:r>
      <w:r w:rsidR="000C6266">
        <w:rPr>
          <w:rFonts w:ascii="Calibri" w:eastAsia="Calibri" w:hAnsi="Calibri" w:cs="Calibri"/>
        </w:rPr>
        <w:t>occhialeria</w:t>
      </w:r>
      <w:r w:rsidR="00060608">
        <w:rPr>
          <w:rFonts w:ascii="Calibri" w:eastAsia="Calibri" w:hAnsi="Calibri" w:cs="Calibri"/>
        </w:rPr>
        <w:t xml:space="preserve">: </w:t>
      </w:r>
      <w:r w:rsidR="000A38A4">
        <w:rPr>
          <w:rFonts w:ascii="Calibri" w:eastAsia="Calibri" w:hAnsi="Calibri" w:cs="Calibri"/>
        </w:rPr>
        <w:t xml:space="preserve">settore nel quale il </w:t>
      </w:r>
      <w:r w:rsidR="00060608">
        <w:rPr>
          <w:rFonts w:ascii="Calibri" w:eastAsia="Calibri" w:hAnsi="Calibri" w:cs="Calibri"/>
        </w:rPr>
        <w:t xml:space="preserve">recupero </w:t>
      </w:r>
      <w:r w:rsidR="000C6266">
        <w:rPr>
          <w:rFonts w:ascii="Calibri" w:eastAsia="Calibri" w:hAnsi="Calibri" w:cs="Calibri"/>
        </w:rPr>
        <w:t>del fatturato estero</w:t>
      </w:r>
      <w:r w:rsidR="000A38A4">
        <w:rPr>
          <w:rFonts w:ascii="Calibri" w:eastAsia="Calibri" w:hAnsi="Calibri" w:cs="Calibri"/>
        </w:rPr>
        <w:t xml:space="preserve"> è di minore intensità, mentre il fatturato totale risulta </w:t>
      </w:r>
      <w:r w:rsidR="00060608">
        <w:rPr>
          <w:rFonts w:ascii="Calibri" w:eastAsia="Calibri" w:hAnsi="Calibri" w:cs="Calibri"/>
        </w:rPr>
        <w:t xml:space="preserve">in forte </w:t>
      </w:r>
      <w:r w:rsidR="000C6266">
        <w:rPr>
          <w:rFonts w:ascii="Calibri" w:eastAsia="Calibri" w:hAnsi="Calibri" w:cs="Calibri"/>
        </w:rPr>
        <w:t xml:space="preserve">calo nel segmento delle </w:t>
      </w:r>
      <w:r w:rsidR="008C016E">
        <w:rPr>
          <w:rFonts w:ascii="Calibri" w:eastAsia="Calibri" w:hAnsi="Calibri" w:cs="Calibri"/>
        </w:rPr>
        <w:t>piccole imprese, a riprova di una certa sofferenza della filiera territoriale dell’occhialeria</w:t>
      </w:r>
      <w:r w:rsidR="000C6266">
        <w:rPr>
          <w:rFonts w:ascii="Calibri" w:eastAsia="Calibri" w:hAnsi="Calibri" w:cs="Calibri"/>
        </w:rPr>
        <w:t>,</w:t>
      </w:r>
      <w:r w:rsidR="008C016E">
        <w:rPr>
          <w:rFonts w:ascii="Calibri" w:eastAsia="Calibri" w:hAnsi="Calibri" w:cs="Calibri"/>
        </w:rPr>
        <w:t xml:space="preserve"> già sopra evidenziata.</w:t>
      </w:r>
    </w:p>
    <w:p w14:paraId="21A083CF" w14:textId="1D797026" w:rsidR="000C6266" w:rsidRDefault="00525DFD" w:rsidP="00DC3E34">
      <w:pPr>
        <w:spacing w:before="240" w:after="120"/>
        <w:jc w:val="both"/>
        <w:rPr>
          <w:rFonts w:ascii="Calibri" w:eastAsia="Calibri" w:hAnsi="Calibri" w:cs="Calibri"/>
        </w:rPr>
      </w:pPr>
      <w:r>
        <w:rPr>
          <w:rFonts w:ascii="Calibri" w:eastAsia="Calibri" w:hAnsi="Calibri" w:cs="Calibri"/>
        </w:rPr>
        <w:t xml:space="preserve">La dinamica dei </w:t>
      </w:r>
      <w:r w:rsidRPr="0015270E">
        <w:rPr>
          <w:rFonts w:ascii="Calibri" w:eastAsia="Calibri" w:hAnsi="Calibri" w:cs="Calibri"/>
          <w:b/>
          <w:bCs/>
        </w:rPr>
        <w:t>nuovi ordinativi</w:t>
      </w:r>
      <w:r>
        <w:rPr>
          <w:rFonts w:ascii="Calibri" w:eastAsia="Calibri" w:hAnsi="Calibri" w:cs="Calibri"/>
        </w:rPr>
        <w:t xml:space="preserve"> rispecchia una situazione analoga a quanto sopra illustrato</w:t>
      </w:r>
      <w:r w:rsidR="0015270E">
        <w:rPr>
          <w:rFonts w:ascii="Calibri" w:eastAsia="Calibri" w:hAnsi="Calibri" w:cs="Calibri"/>
        </w:rPr>
        <w:t xml:space="preserve"> per il fatturato</w:t>
      </w:r>
      <w:r>
        <w:rPr>
          <w:rFonts w:ascii="Calibri" w:eastAsia="Calibri" w:hAnsi="Calibri" w:cs="Calibri"/>
        </w:rPr>
        <w:t xml:space="preserve">: considerando </w:t>
      </w:r>
      <w:r w:rsidR="0015270E">
        <w:rPr>
          <w:rFonts w:ascii="Calibri" w:eastAsia="Calibri" w:hAnsi="Calibri" w:cs="Calibri"/>
        </w:rPr>
        <w:t xml:space="preserve">sempre </w:t>
      </w:r>
      <w:r>
        <w:rPr>
          <w:rFonts w:ascii="Calibri" w:eastAsia="Calibri" w:hAnsi="Calibri" w:cs="Calibri"/>
        </w:rPr>
        <w:t xml:space="preserve">le variazioni su base annua, si registra un interessante recupero della raccolta ordini dall’estero (+6,2%), soprattutto </w:t>
      </w:r>
      <w:r w:rsidR="0015270E">
        <w:rPr>
          <w:rFonts w:ascii="Calibri" w:eastAsia="Calibri" w:hAnsi="Calibri" w:cs="Calibri"/>
        </w:rPr>
        <w:t xml:space="preserve">grazie alla </w:t>
      </w:r>
      <w:r w:rsidR="0015270E">
        <w:rPr>
          <w:rFonts w:ascii="Calibri" w:eastAsia="Calibri" w:hAnsi="Calibri" w:cs="Calibri"/>
        </w:rPr>
        <w:lastRenderedPageBreak/>
        <w:t>metalmeccanica, in misura minore per l’occhialeria. D’intensità inferiore, ma pur sempre consistente (+3,1%) il recupero della raccolta ordini dal mercato nazionale.</w:t>
      </w:r>
    </w:p>
    <w:p w14:paraId="1DC54940" w14:textId="29A287C7" w:rsidR="00DC3E34" w:rsidRDefault="00DC3E34" w:rsidP="00DC3E34">
      <w:pPr>
        <w:spacing w:before="240" w:after="120"/>
        <w:jc w:val="both"/>
        <w:rPr>
          <w:rFonts w:ascii="Calibri" w:eastAsia="Calibri" w:hAnsi="Calibri" w:cs="Calibri"/>
        </w:rPr>
      </w:pPr>
      <w:r>
        <w:rPr>
          <w:rFonts w:ascii="Calibri" w:eastAsia="Calibri" w:hAnsi="Calibri" w:cs="Calibri"/>
        </w:rPr>
        <w:t xml:space="preserve">Nelle previsioni per i primi tre mesi del 2026 </w:t>
      </w:r>
      <w:r w:rsidR="0015270E">
        <w:rPr>
          <w:rFonts w:ascii="Calibri" w:eastAsia="Calibri" w:hAnsi="Calibri" w:cs="Calibri"/>
        </w:rPr>
        <w:t xml:space="preserve">anche nel </w:t>
      </w:r>
      <w:r w:rsidRPr="0025477B">
        <w:rPr>
          <w:rFonts w:ascii="Calibri" w:eastAsia="Calibri" w:hAnsi="Calibri" w:cs="Calibri"/>
          <w:i/>
          <w:iCs/>
        </w:rPr>
        <w:t>sentiment</w:t>
      </w:r>
      <w:r>
        <w:rPr>
          <w:rFonts w:ascii="Calibri" w:eastAsia="Calibri" w:hAnsi="Calibri" w:cs="Calibri"/>
        </w:rPr>
        <w:t xml:space="preserve"> degli imprenditori </w:t>
      </w:r>
      <w:r w:rsidR="0015270E">
        <w:rPr>
          <w:rFonts w:ascii="Calibri" w:eastAsia="Calibri" w:hAnsi="Calibri" w:cs="Calibri"/>
        </w:rPr>
        <w:t>bellunesi si ritrovano i tratti comuni evidenziati sia a livello regionale che per la provincia di Treviso. Si attenuano le preoccupazioni rilevate a giugno, ma forse più che in altri territori resta consistente il clima di attendismo, soprattutto verso la domanda</w:t>
      </w:r>
      <w:r w:rsidR="00EE2592">
        <w:rPr>
          <w:rFonts w:ascii="Calibri" w:eastAsia="Calibri" w:hAnsi="Calibri" w:cs="Calibri"/>
        </w:rPr>
        <w:t xml:space="preserve"> interna, per la quale 1 imprenditore su 2 la prevede stazionaria</w:t>
      </w:r>
      <w:r w:rsidR="0015270E">
        <w:rPr>
          <w:rFonts w:ascii="Calibri" w:eastAsia="Calibri" w:hAnsi="Calibri" w:cs="Calibri"/>
        </w:rPr>
        <w:t xml:space="preserve">. </w:t>
      </w:r>
      <w:r>
        <w:rPr>
          <w:rFonts w:ascii="Calibri" w:eastAsia="Calibri" w:hAnsi="Calibri" w:cs="Calibri"/>
        </w:rPr>
        <w:t>Nel dettaglio:</w:t>
      </w:r>
    </w:p>
    <w:p w14:paraId="3497D340" w14:textId="31808BFD" w:rsidR="00DC3E34" w:rsidRPr="006E4090" w:rsidRDefault="00DC3E34" w:rsidP="00DC3E34">
      <w:pPr>
        <w:pStyle w:val="Paragrafoelenco"/>
        <w:numPr>
          <w:ilvl w:val="0"/>
          <w:numId w:val="4"/>
        </w:numPr>
        <w:spacing w:before="240" w:after="120"/>
        <w:jc w:val="both"/>
        <w:rPr>
          <w:rFonts w:cs="Calibri"/>
        </w:rPr>
      </w:pPr>
      <w:r>
        <w:rPr>
          <w:rFonts w:cs="Calibri"/>
        </w:rPr>
        <w:t xml:space="preserve">Per la </w:t>
      </w:r>
      <w:r w:rsidRPr="00350A9A">
        <w:rPr>
          <w:rFonts w:cs="Calibri"/>
          <w:b/>
          <w:bCs/>
        </w:rPr>
        <w:t>produzione</w:t>
      </w:r>
      <w:r>
        <w:rPr>
          <w:rFonts w:cs="Calibri"/>
        </w:rPr>
        <w:t xml:space="preserve">, i giudizi di crescita </w:t>
      </w:r>
      <w:r w:rsidR="00EE2592">
        <w:rPr>
          <w:rFonts w:cs="Calibri"/>
        </w:rPr>
        <w:t>si riportano a</w:t>
      </w:r>
      <w:r>
        <w:rPr>
          <w:rFonts w:cs="Calibri"/>
        </w:rPr>
        <w:t>l 3</w:t>
      </w:r>
      <w:r w:rsidR="00EE2592">
        <w:rPr>
          <w:rFonts w:cs="Calibri"/>
        </w:rPr>
        <w:t>4</w:t>
      </w:r>
      <w:r>
        <w:rPr>
          <w:rFonts w:cs="Calibri"/>
        </w:rPr>
        <w:t xml:space="preserve">% degli intervistati (erano scesi al </w:t>
      </w:r>
      <w:r w:rsidR="00EE2592">
        <w:rPr>
          <w:rFonts w:cs="Calibri"/>
        </w:rPr>
        <w:t>24</w:t>
      </w:r>
      <w:r>
        <w:rPr>
          <w:rFonts w:cs="Calibri"/>
        </w:rPr>
        <w:t xml:space="preserve">% a giugno 2025) e tornano </w:t>
      </w:r>
      <w:r w:rsidR="00EE2592">
        <w:rPr>
          <w:rFonts w:cs="Calibri"/>
        </w:rPr>
        <w:t xml:space="preserve">anche in questo caso </w:t>
      </w:r>
      <w:r>
        <w:rPr>
          <w:rFonts w:cs="Calibri"/>
        </w:rPr>
        <w:t>al medesimo “clima di fiducia” di fine 2024; tra giugno e dicembre scendono specularmente i giudizi di flessione (</w:t>
      </w:r>
      <w:r w:rsidR="00EE2592">
        <w:rPr>
          <w:rFonts w:cs="Calibri"/>
        </w:rPr>
        <w:t>avevano raggiunto il 35% degli intervistati, ora si posizionano al 27%, una quota comunque più alta sia del dato medio regionale che di quello trevigiano</w:t>
      </w:r>
      <w:r>
        <w:rPr>
          <w:rFonts w:cs="Calibri"/>
        </w:rPr>
        <w:t>)</w:t>
      </w:r>
      <w:r w:rsidR="00EE2592">
        <w:rPr>
          <w:rFonts w:cs="Calibri"/>
        </w:rPr>
        <w:t>;</w:t>
      </w:r>
      <w:r w:rsidRPr="006E4090">
        <w:rPr>
          <w:rFonts w:cs="Calibri"/>
        </w:rPr>
        <w:t xml:space="preserve"> le indicazioni di stazionarietà </w:t>
      </w:r>
      <w:r>
        <w:rPr>
          <w:rFonts w:cs="Calibri"/>
        </w:rPr>
        <w:t xml:space="preserve">conoscono solo una lieve limatura </w:t>
      </w:r>
      <w:r w:rsidRPr="006E4090">
        <w:rPr>
          <w:rFonts w:cs="Calibri"/>
        </w:rPr>
        <w:t xml:space="preserve">(dal </w:t>
      </w:r>
      <w:r>
        <w:rPr>
          <w:rFonts w:cs="Calibri"/>
        </w:rPr>
        <w:t>4</w:t>
      </w:r>
      <w:r w:rsidR="00EE2592">
        <w:rPr>
          <w:rFonts w:cs="Calibri"/>
        </w:rPr>
        <w:t>1</w:t>
      </w:r>
      <w:r w:rsidRPr="006E4090">
        <w:rPr>
          <w:rFonts w:cs="Calibri"/>
        </w:rPr>
        <w:t>% al 39%</w:t>
      </w:r>
      <w:r>
        <w:rPr>
          <w:rFonts w:cs="Calibri"/>
        </w:rPr>
        <w:t>)</w:t>
      </w:r>
      <w:r w:rsidRPr="006E4090">
        <w:rPr>
          <w:rFonts w:cs="Calibri"/>
        </w:rPr>
        <w:t>;</w:t>
      </w:r>
    </w:p>
    <w:p w14:paraId="3F8FFE2A" w14:textId="1910272C" w:rsidR="00DC3E34" w:rsidRDefault="00EE2592" w:rsidP="00DC3E34">
      <w:pPr>
        <w:pStyle w:val="Paragrafoelenco"/>
        <w:numPr>
          <w:ilvl w:val="0"/>
          <w:numId w:val="4"/>
        </w:numPr>
        <w:spacing w:before="240" w:after="120"/>
        <w:jc w:val="both"/>
        <w:rPr>
          <w:rFonts w:cs="Calibri"/>
        </w:rPr>
      </w:pPr>
      <w:r>
        <w:rPr>
          <w:rFonts w:cs="Calibri"/>
        </w:rPr>
        <w:t xml:space="preserve">La platea degli imprenditori che scommette sulla crescita del </w:t>
      </w:r>
      <w:r w:rsidRPr="00EE2592">
        <w:rPr>
          <w:rFonts w:cs="Calibri"/>
          <w:b/>
          <w:bCs/>
        </w:rPr>
        <w:t>fatturato</w:t>
      </w:r>
      <w:r>
        <w:rPr>
          <w:rFonts w:cs="Calibri"/>
        </w:rPr>
        <w:t xml:space="preserve"> si amplia, ma di poco, passando dal </w:t>
      </w:r>
      <w:r w:rsidR="00DC3E34">
        <w:rPr>
          <w:rFonts w:cs="Calibri"/>
        </w:rPr>
        <w:t xml:space="preserve">32% </w:t>
      </w:r>
      <w:r>
        <w:rPr>
          <w:rFonts w:cs="Calibri"/>
        </w:rPr>
        <w:t>degli intervistati n</w:t>
      </w:r>
      <w:r w:rsidR="00DC3E34">
        <w:rPr>
          <w:rFonts w:cs="Calibri"/>
        </w:rPr>
        <w:t>ella survey di giugno al 3</w:t>
      </w:r>
      <w:r>
        <w:rPr>
          <w:rFonts w:cs="Calibri"/>
        </w:rPr>
        <w:t>6</w:t>
      </w:r>
      <w:r w:rsidR="00DC3E34">
        <w:rPr>
          <w:rFonts w:cs="Calibri"/>
        </w:rPr>
        <w:t>%</w:t>
      </w:r>
      <w:r>
        <w:rPr>
          <w:rFonts w:cs="Calibri"/>
        </w:rPr>
        <w:t xml:space="preserve"> attuale; all’insegna della perdurante incertezza si amplia al tempo stesso anche la quota degli “scettici”, di coloro che ne prevedono la stazionarietà (dal 34</w:t>
      </w:r>
      <w:r w:rsidR="002A3881">
        <w:rPr>
          <w:rFonts w:cs="Calibri"/>
        </w:rPr>
        <w:t>%</w:t>
      </w:r>
      <w:r>
        <w:rPr>
          <w:rFonts w:cs="Calibri"/>
        </w:rPr>
        <w:t xml:space="preserve"> al 37</w:t>
      </w:r>
      <w:r w:rsidR="002A3881">
        <w:rPr>
          <w:rFonts w:cs="Calibri"/>
        </w:rPr>
        <w:t xml:space="preserve">% </w:t>
      </w:r>
      <w:r>
        <w:rPr>
          <w:rFonts w:cs="Calibri"/>
        </w:rPr>
        <w:t xml:space="preserve">degli intervistati); </w:t>
      </w:r>
      <w:r w:rsidR="006C0B37">
        <w:rPr>
          <w:rFonts w:cs="Calibri"/>
        </w:rPr>
        <w:t xml:space="preserve">la quota dei </w:t>
      </w:r>
      <w:r>
        <w:rPr>
          <w:rFonts w:cs="Calibri"/>
        </w:rPr>
        <w:t xml:space="preserve">“pessimisti” </w:t>
      </w:r>
      <w:r w:rsidR="006C0B37">
        <w:rPr>
          <w:rFonts w:cs="Calibri"/>
        </w:rPr>
        <w:t xml:space="preserve">si riduce </w:t>
      </w:r>
      <w:r>
        <w:rPr>
          <w:rFonts w:cs="Calibri"/>
        </w:rPr>
        <w:t xml:space="preserve">dal 34% al </w:t>
      </w:r>
      <w:r w:rsidR="00DC3E34">
        <w:rPr>
          <w:rFonts w:cs="Calibri"/>
        </w:rPr>
        <w:t>2</w:t>
      </w:r>
      <w:r>
        <w:rPr>
          <w:rFonts w:cs="Calibri"/>
        </w:rPr>
        <w:t>7</w:t>
      </w:r>
      <w:r w:rsidR="00DC3E34">
        <w:rPr>
          <w:rFonts w:cs="Calibri"/>
        </w:rPr>
        <w:t>%</w:t>
      </w:r>
      <w:r w:rsidR="006C0B37">
        <w:rPr>
          <w:rFonts w:cs="Calibri"/>
        </w:rPr>
        <w:t>, ma resta di un certo peso</w:t>
      </w:r>
      <w:r w:rsidR="00DC3E34">
        <w:rPr>
          <w:rFonts w:cs="Calibri"/>
        </w:rPr>
        <w:t>.</w:t>
      </w:r>
      <w:r w:rsidR="006C0B37">
        <w:rPr>
          <w:rFonts w:cs="Calibri"/>
        </w:rPr>
        <w:t xml:space="preserve"> Come per Treviso anche a Belluno oltre </w:t>
      </w:r>
      <w:r w:rsidR="00DC3E34">
        <w:rPr>
          <w:rFonts w:cs="Calibri"/>
        </w:rPr>
        <w:t>un’azienda su quattro appartenente al comparto manifatturiero sconta una possibile riduzione delle vendite</w:t>
      </w:r>
      <w:r w:rsidR="006C0B37">
        <w:rPr>
          <w:rFonts w:cs="Calibri"/>
        </w:rPr>
        <w:t xml:space="preserve"> nel primo trimestre del 2026</w:t>
      </w:r>
      <w:r w:rsidR="00DC3E34">
        <w:rPr>
          <w:rFonts w:cs="Calibri"/>
        </w:rPr>
        <w:t>;</w:t>
      </w:r>
    </w:p>
    <w:p w14:paraId="07422331" w14:textId="0EA252CF" w:rsidR="006C0B37" w:rsidRDefault="002A3881" w:rsidP="00DC3E34">
      <w:pPr>
        <w:pStyle w:val="Paragrafoelenco"/>
        <w:numPr>
          <w:ilvl w:val="0"/>
          <w:numId w:val="4"/>
        </w:numPr>
        <w:spacing w:before="240" w:after="120"/>
        <w:jc w:val="both"/>
        <w:rPr>
          <w:rFonts w:cs="Calibri"/>
        </w:rPr>
      </w:pPr>
      <w:r>
        <w:rPr>
          <w:rFonts w:cs="Calibri"/>
        </w:rPr>
        <w:t xml:space="preserve">L’incertezza si estende inevitabilmente alle previsioni sulla </w:t>
      </w:r>
      <w:r w:rsidRPr="00DC7C2B">
        <w:rPr>
          <w:rFonts w:cs="Calibri"/>
          <w:b/>
          <w:bCs/>
        </w:rPr>
        <w:t>domanda</w:t>
      </w:r>
      <w:r w:rsidR="006C0B37">
        <w:rPr>
          <w:rFonts w:cs="Calibri"/>
        </w:rPr>
        <w:t>. Come si anticipava, p</w:t>
      </w:r>
      <w:r w:rsidR="00DC3E34" w:rsidRPr="00521045">
        <w:rPr>
          <w:rFonts w:cs="Calibri"/>
        </w:rPr>
        <w:t xml:space="preserve">er gli </w:t>
      </w:r>
      <w:r w:rsidR="00DC3E34" w:rsidRPr="00521045">
        <w:rPr>
          <w:rFonts w:cs="Calibri"/>
          <w:i/>
          <w:iCs/>
        </w:rPr>
        <w:t>ordini raccolti dal mercato italiano</w:t>
      </w:r>
      <w:r w:rsidR="006C0B37">
        <w:rPr>
          <w:rFonts w:cs="Calibri"/>
        </w:rPr>
        <w:t xml:space="preserve">, un’azienda </w:t>
      </w:r>
      <w:r>
        <w:rPr>
          <w:rFonts w:cs="Calibri"/>
        </w:rPr>
        <w:t xml:space="preserve">bellunese </w:t>
      </w:r>
      <w:r w:rsidR="006C0B37">
        <w:rPr>
          <w:rFonts w:cs="Calibri"/>
        </w:rPr>
        <w:t xml:space="preserve">su due </w:t>
      </w:r>
      <w:r>
        <w:rPr>
          <w:rFonts w:cs="Calibri"/>
        </w:rPr>
        <w:t xml:space="preserve">non nutre grosse illusioni e prevede sostanzialmente stabile l’indicatore. </w:t>
      </w:r>
      <w:r w:rsidR="006C0B37">
        <w:rPr>
          <w:rFonts w:cs="Calibri"/>
        </w:rPr>
        <w:t xml:space="preserve">Volendo giocare con il classico saldo tra giudizi positivi e negativi, prevalgono i primi (da giugno a dicembre </w:t>
      </w:r>
      <w:r>
        <w:rPr>
          <w:rFonts w:cs="Calibri"/>
        </w:rPr>
        <w:t xml:space="preserve">risalgono dal 27% al 31% degli intervistati), con i secondi che si riducono sensibilmente (dal 32% al 19%). Certamente meno pessimismo, ma anche tanta cautela. Un maggiore sbilanciamento verso la positività traspare per </w:t>
      </w:r>
      <w:r w:rsidR="00DC7C2B">
        <w:rPr>
          <w:rFonts w:cs="Calibri"/>
        </w:rPr>
        <w:t xml:space="preserve">gli </w:t>
      </w:r>
      <w:r w:rsidR="00DC7C2B" w:rsidRPr="00DC7C2B">
        <w:rPr>
          <w:rFonts w:cs="Calibri"/>
          <w:i/>
          <w:iCs/>
        </w:rPr>
        <w:t>ordini raccolti dai mercati esteri</w:t>
      </w:r>
      <w:r>
        <w:rPr>
          <w:rFonts w:cs="Calibri"/>
        </w:rPr>
        <w:t xml:space="preserve">: la quota degli imprenditori che scommette sul </w:t>
      </w:r>
      <w:r w:rsidR="00DC7C2B">
        <w:rPr>
          <w:rFonts w:cs="Calibri"/>
        </w:rPr>
        <w:t>loro incremento</w:t>
      </w:r>
      <w:r>
        <w:rPr>
          <w:rFonts w:cs="Calibri"/>
        </w:rPr>
        <w:t xml:space="preserve"> si porta al 38% (dal 32% di giugno) e si riduce ulteriorment</w:t>
      </w:r>
      <w:r w:rsidR="00DC7C2B">
        <w:rPr>
          <w:rFonts w:cs="Calibri"/>
        </w:rPr>
        <w:t>e (dal 22% al 19%) la quota dei “pessimisti”. Resta però ampia la zona dell’incertezza: quasi un 43% di imprenditori ritiene più plausibile uno scenario di stazionarietà.</w:t>
      </w:r>
    </w:p>
    <w:p w14:paraId="0829D57B" w14:textId="77777777" w:rsidR="00323EED" w:rsidRDefault="00323EED" w:rsidP="00323EED">
      <w:pPr>
        <w:spacing w:before="240" w:after="120"/>
        <w:jc w:val="both"/>
        <w:rPr>
          <w:rFonts w:cs="Calibri"/>
        </w:rPr>
      </w:pPr>
    </w:p>
    <w:p w14:paraId="43C8F0CB" w14:textId="77777777" w:rsidR="00323EED" w:rsidRPr="00323EED" w:rsidRDefault="00323EED" w:rsidP="00323EED">
      <w:pPr>
        <w:spacing w:before="240" w:after="120"/>
        <w:jc w:val="both"/>
        <w:rPr>
          <w:rFonts w:cs="Calibri"/>
        </w:rPr>
      </w:pPr>
    </w:p>
    <w:tbl>
      <w:tblPr>
        <w:tblStyle w:val="afff0"/>
        <w:tblpPr w:leftFromText="141" w:rightFromText="141" w:vertAnchor="text" w:horzAnchor="margin" w:tblpY="247"/>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5"/>
      </w:tblGrid>
      <w:tr w:rsidR="002C54C1" w:rsidRPr="00750E48" w14:paraId="2543CE42" w14:textId="77777777" w:rsidTr="002C54C1">
        <w:tc>
          <w:tcPr>
            <w:tcW w:w="8505" w:type="dxa"/>
          </w:tcPr>
          <w:p w14:paraId="5F45C09C" w14:textId="77777777" w:rsidR="002C54C1" w:rsidRPr="00092F45" w:rsidRDefault="002C54C1" w:rsidP="002C54C1">
            <w:pPr>
              <w:pStyle w:val="Titolo1"/>
              <w:spacing w:after="0"/>
              <w:rPr>
                <w:rFonts w:ascii="Calibri" w:eastAsia="Calibri" w:hAnsi="Calibri" w:cs="Calibri"/>
                <w:b w:val="0"/>
                <w:color w:val="00B0F0"/>
                <w:sz w:val="20"/>
                <w:szCs w:val="20"/>
              </w:rPr>
            </w:pPr>
            <w:r w:rsidRPr="00092F45">
              <w:rPr>
                <w:rFonts w:ascii="Calibri" w:eastAsia="Calibri" w:hAnsi="Calibri" w:cs="Calibri"/>
                <w:sz w:val="20"/>
                <w:szCs w:val="20"/>
              </w:rPr>
              <w:lastRenderedPageBreak/>
              <w:t xml:space="preserve">Tab. 2 – </w:t>
            </w:r>
            <w:r w:rsidRPr="00092F45">
              <w:rPr>
                <w:rFonts w:ascii="Calibri" w:eastAsia="Calibri" w:hAnsi="Calibri" w:cs="Calibri"/>
                <w:color w:val="00B0F0"/>
                <w:sz w:val="20"/>
                <w:szCs w:val="20"/>
              </w:rPr>
              <w:t xml:space="preserve">Veneto e Province di Treviso e di Belluno*. </w:t>
            </w:r>
          </w:p>
          <w:p w14:paraId="11FB10C5" w14:textId="77777777" w:rsidR="002C54C1" w:rsidRPr="00092F45" w:rsidRDefault="002C54C1" w:rsidP="002C54C1">
            <w:pPr>
              <w:pStyle w:val="Titolo1"/>
              <w:spacing w:before="0" w:after="0"/>
              <w:rPr>
                <w:rFonts w:ascii="Calibri" w:eastAsia="Calibri" w:hAnsi="Calibri" w:cs="Calibri"/>
                <w:sz w:val="20"/>
                <w:szCs w:val="20"/>
              </w:rPr>
            </w:pPr>
            <w:r w:rsidRPr="00092F45">
              <w:rPr>
                <w:rFonts w:ascii="Calibri" w:eastAsia="Calibri" w:hAnsi="Calibri" w:cs="Calibri"/>
                <w:sz w:val="20"/>
                <w:szCs w:val="20"/>
              </w:rPr>
              <w:t>Andamento dei principali indicatori dell’industria manifatturiera nel quarto trimestre 2025</w:t>
            </w:r>
          </w:p>
          <w:p w14:paraId="67BEFEDA" w14:textId="77777777" w:rsidR="002C54C1" w:rsidRPr="00750E48" w:rsidRDefault="002C54C1" w:rsidP="002C54C1">
            <w:pPr>
              <w:pStyle w:val="Titolo1"/>
              <w:spacing w:before="0" w:after="120"/>
              <w:rPr>
                <w:highlight w:val="yellow"/>
              </w:rPr>
            </w:pPr>
            <w:r w:rsidRPr="00092F45">
              <w:rPr>
                <w:rFonts w:ascii="Calibri" w:eastAsia="Calibri" w:hAnsi="Calibri" w:cs="Calibri"/>
                <w:b w:val="0"/>
                <w:sz w:val="20"/>
                <w:szCs w:val="20"/>
              </w:rPr>
              <w:t>(variazione % congiunturale ed annuale)</w:t>
            </w:r>
          </w:p>
        </w:tc>
      </w:tr>
      <w:tr w:rsidR="002C54C1" w:rsidRPr="00750E48" w14:paraId="537F653D" w14:textId="77777777" w:rsidTr="002C54C1">
        <w:tc>
          <w:tcPr>
            <w:tcW w:w="8505" w:type="dxa"/>
          </w:tcPr>
          <w:p w14:paraId="354C8462" w14:textId="77777777" w:rsidR="002C54C1" w:rsidRPr="00750E48" w:rsidRDefault="002C54C1" w:rsidP="002C54C1">
            <w:pPr>
              <w:tabs>
                <w:tab w:val="left" w:pos="3256"/>
              </w:tabs>
              <w:spacing w:before="40"/>
              <w:jc w:val="center"/>
              <w:rPr>
                <w:rFonts w:ascii="Arial" w:eastAsia="Arial" w:hAnsi="Arial" w:cs="Arial"/>
                <w:b/>
                <w:sz w:val="20"/>
                <w:szCs w:val="20"/>
                <w:highlight w:val="yellow"/>
              </w:rPr>
            </w:pPr>
            <w:r w:rsidRPr="00210D1F">
              <w:rPr>
                <w:rFonts w:ascii="Arial" w:eastAsia="Arial" w:hAnsi="Arial" w:cs="Arial"/>
                <w:b/>
                <w:noProof/>
                <w:sz w:val="20"/>
                <w:szCs w:val="20"/>
              </w:rPr>
              <w:drawing>
                <wp:inline distT="0" distB="0" distL="0" distR="0" wp14:anchorId="55B8A664" wp14:editId="27D42884">
                  <wp:extent cx="3876675" cy="1848750"/>
                  <wp:effectExtent l="0" t="0" r="0" b="0"/>
                  <wp:docPr id="157714094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2837" cy="1851688"/>
                          </a:xfrm>
                          <a:prstGeom prst="rect">
                            <a:avLst/>
                          </a:prstGeom>
                          <a:noFill/>
                          <a:ln>
                            <a:noFill/>
                          </a:ln>
                        </pic:spPr>
                      </pic:pic>
                    </a:graphicData>
                  </a:graphic>
                </wp:inline>
              </w:drawing>
            </w:r>
          </w:p>
        </w:tc>
      </w:tr>
      <w:tr w:rsidR="002C54C1" w:rsidRPr="00750E48" w14:paraId="1884C551" w14:textId="77777777" w:rsidTr="002C54C1">
        <w:tc>
          <w:tcPr>
            <w:tcW w:w="8505" w:type="dxa"/>
          </w:tcPr>
          <w:p w14:paraId="595BB37E" w14:textId="77777777" w:rsidR="002C54C1" w:rsidRPr="00092F45" w:rsidRDefault="002C54C1" w:rsidP="002C54C1">
            <w:pPr>
              <w:tabs>
                <w:tab w:val="left" w:pos="3256"/>
              </w:tabs>
              <w:spacing w:before="40"/>
              <w:rPr>
                <w:rFonts w:ascii="Arial" w:eastAsia="Arial" w:hAnsi="Arial" w:cs="Arial"/>
                <w:sz w:val="16"/>
                <w:szCs w:val="16"/>
              </w:rPr>
            </w:pPr>
            <w:r w:rsidRPr="00092F45">
              <w:rPr>
                <w:rFonts w:ascii="Arial" w:eastAsia="Arial" w:hAnsi="Arial" w:cs="Arial"/>
                <w:sz w:val="16"/>
                <w:szCs w:val="16"/>
              </w:rPr>
              <w:t>(*) Per Belluno le variazioni possono essere amplificate per la ridotta numerosità campionaria.</w:t>
            </w:r>
          </w:p>
          <w:p w14:paraId="2E01DCEA" w14:textId="77777777" w:rsidR="002C54C1" w:rsidRPr="00092F45" w:rsidRDefault="002C54C1" w:rsidP="002C54C1">
            <w:pPr>
              <w:tabs>
                <w:tab w:val="left" w:pos="3256"/>
              </w:tabs>
              <w:spacing w:before="40"/>
              <w:rPr>
                <w:rFonts w:ascii="Arial" w:eastAsia="Arial" w:hAnsi="Arial" w:cs="Arial"/>
                <w:sz w:val="16"/>
                <w:szCs w:val="16"/>
              </w:rPr>
            </w:pPr>
          </w:p>
        </w:tc>
      </w:tr>
      <w:tr w:rsidR="002C54C1" w:rsidRPr="00750E48" w14:paraId="6549A7D6" w14:textId="77777777" w:rsidTr="002C54C1">
        <w:trPr>
          <w:trHeight w:val="164"/>
        </w:trPr>
        <w:tc>
          <w:tcPr>
            <w:tcW w:w="8505" w:type="dxa"/>
          </w:tcPr>
          <w:p w14:paraId="389272C4" w14:textId="77777777" w:rsidR="002C54C1" w:rsidRPr="00092F45" w:rsidRDefault="002C54C1" w:rsidP="002C54C1">
            <w:pPr>
              <w:tabs>
                <w:tab w:val="left" w:pos="3256"/>
              </w:tabs>
              <w:spacing w:before="40"/>
              <w:rPr>
                <w:rFonts w:ascii="Arial" w:eastAsia="Arial" w:hAnsi="Arial" w:cs="Arial"/>
                <w:i/>
                <w:sz w:val="16"/>
                <w:szCs w:val="16"/>
              </w:rPr>
            </w:pPr>
            <w:r w:rsidRPr="00092F45">
              <w:rPr>
                <w:rFonts w:ascii="Arial" w:eastAsia="Arial" w:hAnsi="Arial" w:cs="Arial"/>
                <w:i/>
                <w:sz w:val="16"/>
                <w:szCs w:val="16"/>
              </w:rPr>
              <w:t>Fonte: Unioncamere del Veneto - Indagine VenetoCongiuntura</w:t>
            </w:r>
          </w:p>
        </w:tc>
      </w:tr>
    </w:tbl>
    <w:p w14:paraId="0921AF4C" w14:textId="77777777" w:rsidR="002C54C1" w:rsidRDefault="002C54C1" w:rsidP="00DC7C2B">
      <w:pPr>
        <w:spacing w:before="240" w:after="120"/>
        <w:jc w:val="both"/>
        <w:rPr>
          <w:rFonts w:ascii="Calibri" w:eastAsia="Calibri" w:hAnsi="Calibri" w:cs="Calibri"/>
          <w:b/>
          <w:lang w:val="it-IT"/>
        </w:rPr>
      </w:pPr>
    </w:p>
    <w:p w14:paraId="5B2B1F12" w14:textId="5AA3AFA0" w:rsidR="00DC7C2B" w:rsidRPr="00DC7C2B" w:rsidRDefault="00DC7C2B" w:rsidP="00DC7C2B">
      <w:pPr>
        <w:spacing w:before="240" w:after="120"/>
        <w:jc w:val="both"/>
        <w:rPr>
          <w:rFonts w:ascii="Calibri" w:eastAsia="Calibri" w:hAnsi="Calibri" w:cs="Calibri"/>
          <w:b/>
          <w:lang w:val="it-IT"/>
        </w:rPr>
      </w:pPr>
      <w:bookmarkStart w:id="2" w:name="_Hlk221874153"/>
      <w:r w:rsidRPr="00897582">
        <w:rPr>
          <w:rFonts w:ascii="Calibri" w:eastAsia="Calibri" w:hAnsi="Calibri" w:cs="Calibri"/>
          <w:b/>
          <w:lang w:val="it-IT"/>
        </w:rPr>
        <w:t>L’impatto dei dazi sul manifatturiero regionale</w:t>
      </w:r>
    </w:p>
    <w:p w14:paraId="0B2267C8" w14:textId="0AD0F78D" w:rsidR="00897582" w:rsidRPr="00897582" w:rsidRDefault="00897582" w:rsidP="00897582">
      <w:pPr>
        <w:spacing w:before="240" w:after="120"/>
        <w:jc w:val="both"/>
        <w:rPr>
          <w:rFonts w:ascii="Calibri" w:eastAsia="Calibri" w:hAnsi="Calibri" w:cs="Calibri"/>
          <w:lang w:val="it-IT"/>
        </w:rPr>
      </w:pPr>
      <w:bookmarkStart w:id="3" w:name="_Hlk222231645"/>
      <w:bookmarkEnd w:id="2"/>
      <w:r>
        <w:rPr>
          <w:rFonts w:ascii="Calibri" w:eastAsia="Calibri" w:hAnsi="Calibri" w:cs="Calibri"/>
          <w:lang w:val="it-IT"/>
        </w:rPr>
        <w:t>Al</w:t>
      </w:r>
      <w:r w:rsidR="00723FE9">
        <w:rPr>
          <w:rFonts w:ascii="Calibri" w:eastAsia="Calibri" w:hAnsi="Calibri" w:cs="Calibri"/>
          <w:lang w:val="it-IT"/>
        </w:rPr>
        <w:t>le medesime imprese manifatturiere del campione u</w:t>
      </w:r>
      <w:r>
        <w:rPr>
          <w:rFonts w:ascii="Calibri" w:eastAsia="Calibri" w:hAnsi="Calibri" w:cs="Calibri"/>
          <w:lang w:val="it-IT"/>
        </w:rPr>
        <w:t>tilizzato per il monitoraggio congiunturale</w:t>
      </w:r>
      <w:r w:rsidR="00723FE9">
        <w:rPr>
          <w:rFonts w:ascii="Calibri" w:eastAsia="Calibri" w:hAnsi="Calibri" w:cs="Calibri"/>
          <w:lang w:val="it-IT"/>
        </w:rPr>
        <w:t>, sopra commentato,</w:t>
      </w:r>
      <w:r>
        <w:rPr>
          <w:rFonts w:ascii="Calibri" w:eastAsia="Calibri" w:hAnsi="Calibri" w:cs="Calibri"/>
          <w:lang w:val="it-IT"/>
        </w:rPr>
        <w:t xml:space="preserve"> sono state somministrate alcune domande per capire l’impatto dei dazi. Hanno risposto </w:t>
      </w:r>
      <w:r w:rsidRPr="00897582">
        <w:rPr>
          <w:rFonts w:ascii="Calibri" w:eastAsia="Calibri" w:hAnsi="Calibri" w:cs="Calibri"/>
          <w:lang w:val="it-IT"/>
        </w:rPr>
        <w:t>1.994 imprese con almeno 10 dipendenti, di cui il 51% esporta</w:t>
      </w:r>
      <w:r>
        <w:rPr>
          <w:rFonts w:ascii="Calibri" w:eastAsia="Calibri" w:hAnsi="Calibri" w:cs="Calibri"/>
          <w:lang w:val="it-IT"/>
        </w:rPr>
        <w:t>trici</w:t>
      </w:r>
      <w:r w:rsidRPr="00897582">
        <w:rPr>
          <w:rFonts w:ascii="Calibri" w:eastAsia="Calibri" w:hAnsi="Calibri" w:cs="Calibri"/>
          <w:lang w:val="it-IT"/>
        </w:rPr>
        <w:t xml:space="preserve"> e il 49% </w:t>
      </w:r>
      <w:r>
        <w:rPr>
          <w:rFonts w:ascii="Calibri" w:eastAsia="Calibri" w:hAnsi="Calibri" w:cs="Calibri"/>
          <w:lang w:val="it-IT"/>
        </w:rPr>
        <w:t xml:space="preserve">che </w:t>
      </w:r>
      <w:r w:rsidRPr="00897582">
        <w:rPr>
          <w:rFonts w:ascii="Calibri" w:eastAsia="Calibri" w:hAnsi="Calibri" w:cs="Calibri"/>
          <w:lang w:val="it-IT"/>
        </w:rPr>
        <w:t>opera</w:t>
      </w:r>
      <w:r>
        <w:rPr>
          <w:rFonts w:ascii="Calibri" w:eastAsia="Calibri" w:hAnsi="Calibri" w:cs="Calibri"/>
          <w:lang w:val="it-IT"/>
        </w:rPr>
        <w:t>no</w:t>
      </w:r>
      <w:r w:rsidRPr="00897582">
        <w:rPr>
          <w:rFonts w:ascii="Calibri" w:eastAsia="Calibri" w:hAnsi="Calibri" w:cs="Calibri"/>
          <w:lang w:val="it-IT"/>
        </w:rPr>
        <w:t xml:space="preserve"> esclusivamente sul mercato domestico. </w:t>
      </w:r>
      <w:r w:rsidRPr="00897582">
        <w:rPr>
          <w:rFonts w:ascii="Calibri" w:eastAsia="Calibri" w:hAnsi="Calibri" w:cs="Calibri"/>
          <w:b/>
          <w:bCs/>
          <w:lang w:val="it-IT"/>
        </w:rPr>
        <w:t>All’interno di questo universo, il 39% del campione totale esporta negli Stati Uniti, mentre il restante 61% non presenta un’esposizione diretta a tale mercato.</w:t>
      </w:r>
      <w:r w:rsidRPr="00897582">
        <w:rPr>
          <w:rFonts w:ascii="Calibri" w:eastAsia="Calibri" w:hAnsi="Calibri" w:cs="Calibri"/>
          <w:lang w:val="it-IT"/>
        </w:rPr>
        <w:t xml:space="preserve"> Questo primo dato segnala già una rilevante eterogeneità nell’esposizione allo shock tariffario, che si rifletterà poi nella distribuzione degli effetti osservati.</w:t>
      </w:r>
    </w:p>
    <w:bookmarkEnd w:id="3"/>
    <w:p w14:paraId="41F41EDA" w14:textId="77777777" w:rsidR="00897582" w:rsidRPr="00897582" w:rsidRDefault="00897582" w:rsidP="00897582">
      <w:pPr>
        <w:spacing w:before="240" w:after="120"/>
        <w:jc w:val="both"/>
        <w:rPr>
          <w:rFonts w:ascii="Calibri" w:eastAsia="Calibri" w:hAnsi="Calibri" w:cs="Calibri"/>
          <w:lang w:val="it-IT"/>
        </w:rPr>
      </w:pPr>
      <w:r w:rsidRPr="00897582">
        <w:rPr>
          <w:rFonts w:ascii="Calibri" w:eastAsia="Calibri" w:hAnsi="Calibri" w:cs="Calibri"/>
          <w:lang w:val="it-IT"/>
        </w:rPr>
        <w:t xml:space="preserve">Concentrandosi sulle </w:t>
      </w:r>
      <w:r w:rsidRPr="00897582">
        <w:rPr>
          <w:rFonts w:ascii="Calibri" w:eastAsia="Calibri" w:hAnsi="Calibri" w:cs="Calibri"/>
          <w:b/>
          <w:bCs/>
          <w:lang w:val="it-IT"/>
        </w:rPr>
        <w:t>imprese esportatrici verso gli Stati Uniti (776 unità)</w:t>
      </w:r>
      <w:r w:rsidRPr="00897582">
        <w:rPr>
          <w:rFonts w:ascii="Calibri" w:eastAsia="Calibri" w:hAnsi="Calibri" w:cs="Calibri"/>
          <w:lang w:val="it-IT"/>
        </w:rPr>
        <w:t xml:space="preserve">, emerge con chiarezza come </w:t>
      </w:r>
      <w:r w:rsidRPr="00897582">
        <w:rPr>
          <w:rFonts w:ascii="Calibri" w:eastAsia="Calibri" w:hAnsi="Calibri" w:cs="Calibri"/>
          <w:b/>
          <w:bCs/>
          <w:lang w:val="it-IT"/>
        </w:rPr>
        <w:t>l’impatto diretto dei dazi sia stato tutt’altro che uniforme.</w:t>
      </w:r>
      <w:r w:rsidRPr="00897582">
        <w:rPr>
          <w:rFonts w:ascii="Calibri" w:eastAsia="Calibri" w:hAnsi="Calibri" w:cs="Calibri"/>
          <w:lang w:val="it-IT"/>
        </w:rPr>
        <w:t xml:space="preserve"> La quota più consistente, pari al 66% del sottogruppo (26% del campione complessivo), dichiara di non aver subito alcun effetto. Tuttavia, una frazione non trascurabile del 30% degli esportatori USA (12% del totale) riporta effetti negativi, principalmente sotto forma di riduzione effettiva degli ordini. Altri effetti hanno riguardato, in misura minore, fenomeni di rinvio o cancellazione di nuovi contratti (5% del sottogruppo) e dinamiche più complesse legate all’anticipazione della domanda in fase di annuncio dei dazi (4%). Gli effetti positivi risultano invece marginali, attestandosi intorno all’1% del sottogruppo.</w:t>
      </w:r>
    </w:p>
    <w:p w14:paraId="4D5057B4" w14:textId="4C934F8E" w:rsidR="00897582" w:rsidRPr="00897582" w:rsidRDefault="00897582" w:rsidP="00897582">
      <w:pPr>
        <w:spacing w:before="240" w:after="120"/>
        <w:jc w:val="both"/>
        <w:rPr>
          <w:rFonts w:ascii="Calibri" w:eastAsia="Calibri" w:hAnsi="Calibri" w:cs="Calibri"/>
          <w:lang w:val="it-IT"/>
        </w:rPr>
      </w:pPr>
      <w:r w:rsidRPr="00897582">
        <w:rPr>
          <w:rFonts w:ascii="Calibri" w:eastAsia="Calibri" w:hAnsi="Calibri" w:cs="Calibri"/>
          <w:lang w:val="it-IT"/>
        </w:rPr>
        <w:lastRenderedPageBreak/>
        <w:t xml:space="preserve">Un elemento particolarmente rilevante riguarda le </w:t>
      </w:r>
      <w:r w:rsidRPr="00897582">
        <w:rPr>
          <w:rFonts w:ascii="Calibri" w:eastAsia="Calibri" w:hAnsi="Calibri" w:cs="Calibri"/>
          <w:b/>
          <w:bCs/>
          <w:lang w:val="it-IT"/>
        </w:rPr>
        <w:t>strategie adottate dalle imprese in risposta allo shock.</w:t>
      </w:r>
      <w:r w:rsidRPr="00897582">
        <w:rPr>
          <w:rFonts w:ascii="Calibri" w:eastAsia="Calibri" w:hAnsi="Calibri" w:cs="Calibri"/>
          <w:lang w:val="it-IT"/>
        </w:rPr>
        <w:t xml:space="preserve"> Sempre considerando le sole imprese esposte direttamente su</w:t>
      </w:r>
      <w:r w:rsidR="00723FE9">
        <w:rPr>
          <w:rFonts w:ascii="Calibri" w:eastAsia="Calibri" w:hAnsi="Calibri" w:cs="Calibri"/>
          <w:lang w:val="it-IT"/>
        </w:rPr>
        <w:t>l</w:t>
      </w:r>
      <w:r w:rsidRPr="00897582">
        <w:rPr>
          <w:rFonts w:ascii="Calibri" w:eastAsia="Calibri" w:hAnsi="Calibri" w:cs="Calibri"/>
          <w:lang w:val="it-IT"/>
        </w:rPr>
        <w:t xml:space="preserve"> mercat</w:t>
      </w:r>
      <w:r w:rsidR="00723FE9">
        <w:rPr>
          <w:rFonts w:ascii="Calibri" w:eastAsia="Calibri" w:hAnsi="Calibri" w:cs="Calibri"/>
          <w:lang w:val="it-IT"/>
        </w:rPr>
        <w:t>o</w:t>
      </w:r>
      <w:r w:rsidRPr="00897582">
        <w:rPr>
          <w:rFonts w:ascii="Calibri" w:eastAsia="Calibri" w:hAnsi="Calibri" w:cs="Calibri"/>
          <w:lang w:val="it-IT"/>
        </w:rPr>
        <w:t xml:space="preserve"> USA, si osservano due comportamenti distinti: fra quelle che non registrano effetti negativi un’amplissima maggioranza (83%) non avverte neanche l’urgenza di </w:t>
      </w:r>
      <w:r w:rsidRPr="00897582">
        <w:rPr>
          <w:rFonts w:ascii="Calibri" w:eastAsia="Calibri" w:hAnsi="Calibri" w:cs="Calibri"/>
          <w:b/>
          <w:bCs/>
          <w:lang w:val="it-IT"/>
        </w:rPr>
        <w:t>modificare in alcun modo la propria strategia</w:t>
      </w:r>
      <w:r w:rsidRPr="00897582">
        <w:rPr>
          <w:rFonts w:ascii="Calibri" w:eastAsia="Calibri" w:hAnsi="Calibri" w:cs="Calibri"/>
          <w:lang w:val="it-IT"/>
        </w:rPr>
        <w:t>, probabilmente consapevoli di un vantaggio competitivo che li rende meno sensibili alla barriera tariffaria. Si inverte la situazione fra le imprese che</w:t>
      </w:r>
      <w:r w:rsidR="00723FE9">
        <w:rPr>
          <w:rFonts w:ascii="Calibri" w:eastAsia="Calibri" w:hAnsi="Calibri" w:cs="Calibri"/>
          <w:lang w:val="it-IT"/>
        </w:rPr>
        <w:t>,</w:t>
      </w:r>
      <w:r w:rsidRPr="00897582">
        <w:rPr>
          <w:rFonts w:ascii="Calibri" w:eastAsia="Calibri" w:hAnsi="Calibri" w:cs="Calibri"/>
          <w:lang w:val="it-IT"/>
        </w:rPr>
        <w:t xml:space="preserve"> invece</w:t>
      </w:r>
      <w:r w:rsidR="00723FE9">
        <w:rPr>
          <w:rFonts w:ascii="Calibri" w:eastAsia="Calibri" w:hAnsi="Calibri" w:cs="Calibri"/>
          <w:lang w:val="it-IT"/>
        </w:rPr>
        <w:t>,</w:t>
      </w:r>
      <w:r w:rsidRPr="00897582">
        <w:rPr>
          <w:rFonts w:ascii="Calibri" w:eastAsia="Calibri" w:hAnsi="Calibri" w:cs="Calibri"/>
          <w:lang w:val="it-IT"/>
        </w:rPr>
        <w:t xml:space="preserve"> accusano effetti negativi: il 60% per cento delle quali adotta strategie di aggiustamento, soprattutto diversificando verso altri mercati esteri o rafforzando la propria posizione commerciale nel mercato </w:t>
      </w:r>
      <w:r w:rsidR="00723FE9">
        <w:rPr>
          <w:rFonts w:ascii="Calibri" w:eastAsia="Calibri" w:hAnsi="Calibri" w:cs="Calibri"/>
          <w:lang w:val="it-IT"/>
        </w:rPr>
        <w:t>europeo</w:t>
      </w:r>
      <w:r w:rsidRPr="00897582">
        <w:rPr>
          <w:rFonts w:ascii="Calibri" w:eastAsia="Calibri" w:hAnsi="Calibri" w:cs="Calibri"/>
          <w:lang w:val="it-IT"/>
        </w:rPr>
        <w:t>. Anche all’interno di questo gruppo però permane un 40% di imprese che resta inerte, non cambia strategia: un target tutto da capire, se solo attendista (sperando che si tratti di uno shock temporaneo e non sistemico) e se invece non fa nulla perché non ha gli strumenti per reagire.</w:t>
      </w:r>
    </w:p>
    <w:p w14:paraId="1E416B4F" w14:textId="77777777" w:rsidR="00897582" w:rsidRPr="00897582" w:rsidRDefault="00897582" w:rsidP="00897582">
      <w:pPr>
        <w:spacing w:before="240" w:after="120"/>
        <w:jc w:val="both"/>
        <w:rPr>
          <w:rFonts w:ascii="Calibri" w:eastAsia="Calibri" w:hAnsi="Calibri" w:cs="Calibri"/>
          <w:lang w:val="it-IT"/>
        </w:rPr>
      </w:pPr>
      <w:r w:rsidRPr="00897582">
        <w:rPr>
          <w:rFonts w:ascii="Calibri" w:eastAsia="Calibri" w:hAnsi="Calibri" w:cs="Calibri"/>
          <w:lang w:val="it-IT"/>
        </w:rPr>
        <w:t xml:space="preserve">Analoghe considerazioni emergono analizzando </w:t>
      </w:r>
      <w:r w:rsidRPr="00897582">
        <w:rPr>
          <w:rFonts w:ascii="Calibri" w:eastAsia="Calibri" w:hAnsi="Calibri" w:cs="Calibri"/>
          <w:b/>
          <w:bCs/>
          <w:lang w:val="it-IT"/>
        </w:rPr>
        <w:t>le politiche di prezzo.</w:t>
      </w:r>
      <w:r w:rsidRPr="00897582">
        <w:rPr>
          <w:rFonts w:ascii="Calibri" w:eastAsia="Calibri" w:hAnsi="Calibri" w:cs="Calibri"/>
          <w:lang w:val="it-IT"/>
        </w:rPr>
        <w:t xml:space="preserve"> La risposta più frequente, in entrambi i sottogruppi, è la </w:t>
      </w:r>
      <w:r w:rsidRPr="00897582">
        <w:rPr>
          <w:rFonts w:ascii="Calibri" w:eastAsia="Calibri" w:hAnsi="Calibri" w:cs="Calibri"/>
          <w:b/>
          <w:bCs/>
          <w:lang w:val="it-IT"/>
        </w:rPr>
        <w:t>mancata modifica dei prezzi:</w:t>
      </w:r>
      <w:r w:rsidRPr="00897582">
        <w:rPr>
          <w:rFonts w:ascii="Calibri" w:eastAsia="Calibri" w:hAnsi="Calibri" w:cs="Calibri"/>
          <w:lang w:val="it-IT"/>
        </w:rPr>
        <w:t xml:space="preserve"> ciò vale per l’87% delle imprese senza effetti negativi e per il 44% di quelle colpite. Tra queste ultime, tuttavia, si osserva una maggiore varietà di strategie: il 18% assorbe i costi comprimendo i margini e il 27% adotta combinazioni di interventi su prezzi, efficienza e margini. Solo una quota limitata, pari al 9%, trasferisce l’onere dei dazi sui prezzi di vendita. Questo quadro evidenzia come il meccanismo di aggiustamento avvenga prevalentemente all’interno dell’impresa, piuttosto che attraverso il </w:t>
      </w:r>
      <w:r w:rsidRPr="00897582">
        <w:rPr>
          <w:rFonts w:ascii="Calibri" w:eastAsia="Calibri" w:hAnsi="Calibri" w:cs="Calibri"/>
          <w:i/>
          <w:iCs/>
          <w:lang w:val="it-IT"/>
        </w:rPr>
        <w:t>pass-through</w:t>
      </w:r>
      <w:r w:rsidRPr="00897582">
        <w:rPr>
          <w:rFonts w:ascii="Calibri" w:eastAsia="Calibri" w:hAnsi="Calibri" w:cs="Calibri"/>
          <w:lang w:val="it-IT"/>
        </w:rPr>
        <w:t xml:space="preserve"> sui mercati finali.</w:t>
      </w:r>
    </w:p>
    <w:p w14:paraId="4EBE8426" w14:textId="1926145C" w:rsidR="00897582" w:rsidRPr="00897582" w:rsidRDefault="00897582" w:rsidP="00897582">
      <w:pPr>
        <w:spacing w:before="240" w:after="120"/>
        <w:jc w:val="both"/>
        <w:rPr>
          <w:rFonts w:ascii="Calibri" w:eastAsia="Calibri" w:hAnsi="Calibri" w:cs="Calibri"/>
          <w:lang w:val="it-IT"/>
        </w:rPr>
      </w:pPr>
      <w:r w:rsidRPr="00897582">
        <w:rPr>
          <w:rFonts w:ascii="Calibri" w:eastAsia="Calibri" w:hAnsi="Calibri" w:cs="Calibri"/>
          <w:b/>
          <w:bCs/>
          <w:lang w:val="it-IT"/>
        </w:rPr>
        <w:t>Se gli effetti diretti appaiono circoscritti, quelli indiretti risultano invece più diffusi e trasversali, soprattutto fra le imprese che non esportano verso gli USA</w:t>
      </w:r>
      <w:r w:rsidRPr="00897582">
        <w:rPr>
          <w:rFonts w:ascii="Calibri" w:eastAsia="Calibri" w:hAnsi="Calibri" w:cs="Calibri"/>
          <w:lang w:val="it-IT"/>
        </w:rPr>
        <w:t xml:space="preserve">: il 36% di questo sottogruppo dichiara infatti di aver subito conseguenze, in termini di </w:t>
      </w:r>
      <w:r w:rsidRPr="00897582">
        <w:rPr>
          <w:rFonts w:ascii="Calibri" w:eastAsia="Calibri" w:hAnsi="Calibri" w:cs="Calibri"/>
          <w:i/>
          <w:iCs/>
          <w:lang w:val="it-IT"/>
        </w:rPr>
        <w:t xml:space="preserve">“maggiore incertezza che ha rallentato le decisioni commerciali o di investimento” </w:t>
      </w:r>
      <w:r w:rsidRPr="00897582">
        <w:rPr>
          <w:rFonts w:ascii="Calibri" w:eastAsia="Calibri" w:hAnsi="Calibri" w:cs="Calibri"/>
          <w:lang w:val="it-IT"/>
        </w:rPr>
        <w:t>(17</w:t>
      </w:r>
      <w:r w:rsidRPr="00897582">
        <w:rPr>
          <w:rFonts w:ascii="Calibri" w:eastAsia="Calibri" w:hAnsi="Calibri" w:cs="Calibri"/>
          <w:i/>
          <w:iCs/>
          <w:lang w:val="it-IT"/>
        </w:rPr>
        <w:t xml:space="preserve">%), “riduzione della domanda da parte di committenti a loro volta esposti sul mercato USA” </w:t>
      </w:r>
      <w:r w:rsidRPr="00897582">
        <w:rPr>
          <w:rFonts w:ascii="Calibri" w:eastAsia="Calibri" w:hAnsi="Calibri" w:cs="Calibri"/>
          <w:lang w:val="it-IT"/>
        </w:rPr>
        <w:t xml:space="preserve">(12%), </w:t>
      </w:r>
      <w:r w:rsidRPr="00897582">
        <w:rPr>
          <w:rFonts w:ascii="Calibri" w:eastAsia="Calibri" w:hAnsi="Calibri" w:cs="Calibri"/>
          <w:i/>
          <w:iCs/>
          <w:lang w:val="it-IT"/>
        </w:rPr>
        <w:t>“aumento dei costi lungo la filiera”</w:t>
      </w:r>
      <w:r w:rsidRPr="00897582">
        <w:rPr>
          <w:rFonts w:ascii="Calibri" w:eastAsia="Calibri" w:hAnsi="Calibri" w:cs="Calibri"/>
          <w:lang w:val="it-IT"/>
        </w:rPr>
        <w:t xml:space="preserve"> (10%), </w:t>
      </w:r>
      <w:r w:rsidRPr="00897582">
        <w:rPr>
          <w:rFonts w:ascii="Calibri" w:eastAsia="Calibri" w:hAnsi="Calibri" w:cs="Calibri"/>
          <w:i/>
          <w:iCs/>
          <w:lang w:val="it-IT"/>
        </w:rPr>
        <w:t>“revisione dei prezzi o dei margini”</w:t>
      </w:r>
      <w:r w:rsidRPr="00897582">
        <w:rPr>
          <w:rFonts w:ascii="Calibri" w:eastAsia="Calibri" w:hAnsi="Calibri" w:cs="Calibri"/>
          <w:lang w:val="it-IT"/>
        </w:rPr>
        <w:t xml:space="preserve"> (8%). Riportando questi risultati al campione complessivo, si può dunque affermare che circa il 18-20% delle imprese manifatturiere totali</w:t>
      </w:r>
      <w:bookmarkStart w:id="4" w:name="_Hlk222231555"/>
      <w:r w:rsidR="00723FE9">
        <w:rPr>
          <w:rFonts w:ascii="Calibri" w:eastAsia="Calibri" w:hAnsi="Calibri" w:cs="Calibri"/>
          <w:lang w:val="it-IT"/>
        </w:rPr>
        <w:t xml:space="preserve">, in Veneto, </w:t>
      </w:r>
      <w:bookmarkEnd w:id="4"/>
      <w:r w:rsidRPr="00897582">
        <w:rPr>
          <w:rFonts w:ascii="Calibri" w:eastAsia="Calibri" w:hAnsi="Calibri" w:cs="Calibri"/>
          <w:lang w:val="it-IT"/>
        </w:rPr>
        <w:t>subisce effetti indiretti dai dazi.</w:t>
      </w:r>
    </w:p>
    <w:p w14:paraId="7DE08675" w14:textId="77777777" w:rsidR="00897582" w:rsidRPr="00897582" w:rsidRDefault="00897582" w:rsidP="00897582">
      <w:pPr>
        <w:spacing w:before="240" w:after="120"/>
        <w:jc w:val="both"/>
        <w:rPr>
          <w:rFonts w:ascii="Calibri" w:eastAsia="Calibri" w:hAnsi="Calibri" w:cs="Calibri"/>
          <w:lang w:val="it-IT"/>
        </w:rPr>
      </w:pPr>
      <w:r w:rsidRPr="00897582">
        <w:rPr>
          <w:rFonts w:ascii="Calibri" w:eastAsia="Calibri" w:hAnsi="Calibri" w:cs="Calibri"/>
          <w:lang w:val="it-IT"/>
        </w:rPr>
        <w:t xml:space="preserve">L’analisi delle </w:t>
      </w:r>
      <w:r w:rsidRPr="00897582">
        <w:rPr>
          <w:rFonts w:ascii="Calibri" w:eastAsia="Calibri" w:hAnsi="Calibri" w:cs="Calibri"/>
          <w:b/>
          <w:bCs/>
          <w:lang w:val="it-IT"/>
        </w:rPr>
        <w:t>caratteristiche delle imprese colpite</w:t>
      </w:r>
      <w:r w:rsidRPr="00897582">
        <w:rPr>
          <w:rFonts w:ascii="Calibri" w:eastAsia="Calibri" w:hAnsi="Calibri" w:cs="Calibri"/>
          <w:lang w:val="it-IT"/>
        </w:rPr>
        <w:t xml:space="preserve"> contribuisce a chiarire ulteriormente la natura dello shock. Le imprese che riportano </w:t>
      </w:r>
      <w:r w:rsidRPr="00897582">
        <w:rPr>
          <w:rFonts w:ascii="Calibri" w:eastAsia="Calibri" w:hAnsi="Calibri" w:cs="Calibri"/>
          <w:b/>
          <w:bCs/>
          <w:lang w:val="it-IT"/>
        </w:rPr>
        <w:t>effetti diretti negativi</w:t>
      </w:r>
      <w:r w:rsidRPr="00897582">
        <w:rPr>
          <w:rFonts w:ascii="Calibri" w:eastAsia="Calibri" w:hAnsi="Calibri" w:cs="Calibri"/>
          <w:lang w:val="it-IT"/>
        </w:rPr>
        <w:t xml:space="preserve"> sono </w:t>
      </w:r>
      <w:r w:rsidRPr="00897582">
        <w:rPr>
          <w:rFonts w:ascii="Calibri" w:eastAsia="Calibri" w:hAnsi="Calibri" w:cs="Calibri"/>
          <w:b/>
          <w:bCs/>
          <w:lang w:val="it-IT"/>
        </w:rPr>
        <w:t>mediamente più grandi</w:t>
      </w:r>
      <w:r w:rsidRPr="00897582">
        <w:rPr>
          <w:rFonts w:ascii="Calibri" w:eastAsia="Calibri" w:hAnsi="Calibri" w:cs="Calibri"/>
          <w:lang w:val="it-IT"/>
        </w:rPr>
        <w:t xml:space="preserve"> (65 addetti per azienda contro 61 del campione complessivo), e maggiormente concentrate in classi di fatturato medio-alte: il 50% ha infatti un fatturato superiori ai 5 milioni di euro contro il 34% del campione complessivo. Per il 41% appartengono ai beni intermedi, per il 35% ai beni di consumo, per il 24% ai beni di investimento. Ma dal confronto di questa distribuzione con la composizione settoriale del campione complessivo, emerge che ad essere più sensibili ai dazi sono le imprese dei macchinari industriali (16% contro il peso medio del 9%), seguite da quelle del legno </w:t>
      </w:r>
      <w:r w:rsidRPr="00897582">
        <w:rPr>
          <w:rFonts w:ascii="Calibri" w:eastAsia="Calibri" w:hAnsi="Calibri" w:cs="Calibri"/>
          <w:lang w:val="it-IT"/>
        </w:rPr>
        <w:lastRenderedPageBreak/>
        <w:t>arredo (12% contro il peso medio dell’8%), suggerendo una maggiore vulnerabilità dei settori legati a domanda più ciclica e sensibile alle condizioni internazionali.</w:t>
      </w:r>
    </w:p>
    <w:p w14:paraId="299342D9" w14:textId="77777777" w:rsidR="00897582" w:rsidRPr="00897582" w:rsidRDefault="00897582" w:rsidP="00897582">
      <w:pPr>
        <w:spacing w:before="240" w:after="120"/>
        <w:jc w:val="both"/>
        <w:rPr>
          <w:rFonts w:ascii="Calibri" w:eastAsia="Calibri" w:hAnsi="Calibri" w:cs="Calibri"/>
          <w:lang w:val="it-IT"/>
        </w:rPr>
      </w:pPr>
      <w:r w:rsidRPr="00897582">
        <w:rPr>
          <w:rFonts w:ascii="Calibri" w:eastAsia="Calibri" w:hAnsi="Calibri" w:cs="Calibri"/>
          <w:lang w:val="it-IT"/>
        </w:rPr>
        <w:t xml:space="preserve">Al contrario, </w:t>
      </w:r>
      <w:r w:rsidRPr="00897582">
        <w:rPr>
          <w:rFonts w:ascii="Calibri" w:eastAsia="Calibri" w:hAnsi="Calibri" w:cs="Calibri"/>
          <w:b/>
          <w:bCs/>
          <w:lang w:val="it-IT"/>
        </w:rPr>
        <w:t>gli effetti indiretti</w:t>
      </w:r>
      <w:r w:rsidRPr="00897582">
        <w:rPr>
          <w:rFonts w:ascii="Calibri" w:eastAsia="Calibri" w:hAnsi="Calibri" w:cs="Calibri"/>
          <w:lang w:val="it-IT"/>
        </w:rPr>
        <w:t xml:space="preserve"> sembrano colpire </w:t>
      </w:r>
      <w:r w:rsidRPr="00897582">
        <w:rPr>
          <w:rFonts w:ascii="Calibri" w:eastAsia="Calibri" w:hAnsi="Calibri" w:cs="Calibri"/>
          <w:b/>
          <w:bCs/>
          <w:lang w:val="it-IT"/>
        </w:rPr>
        <w:t>imprese mediamente più piccole</w:t>
      </w:r>
      <w:r w:rsidRPr="00897582">
        <w:rPr>
          <w:rFonts w:ascii="Calibri" w:eastAsia="Calibri" w:hAnsi="Calibri" w:cs="Calibri"/>
          <w:lang w:val="it-IT"/>
        </w:rPr>
        <w:t xml:space="preserve"> (48 addetti contro 70 tra le non colpite) e maggiormente inserite nelle catene del valore globali come fornitori, come evidenziato dalla forte incidenza dei beni intermedi (54% contro il peso medio del 47% nel campione complessivo), con particolare riferimento alle imprese operanti nel settore della carpenteria metallica e a quelle del legno-arredo che operano nella componentistica. Tra gli altri settori che manifestano una significativa esposizione agli effetti indiretti dei dazi si riscontrano anche quelli del Sistema Moda, i macchinari industriali, le apparecchiature elettriche.</w:t>
      </w:r>
    </w:p>
    <w:p w14:paraId="11783A8E" w14:textId="77777777" w:rsidR="00897582" w:rsidRPr="00897582" w:rsidRDefault="00897582" w:rsidP="00897582">
      <w:pPr>
        <w:spacing w:before="240" w:after="120"/>
        <w:jc w:val="both"/>
        <w:rPr>
          <w:rFonts w:ascii="Calibri" w:eastAsia="Calibri" w:hAnsi="Calibri" w:cs="Calibri"/>
          <w:lang w:val="it-IT"/>
        </w:rPr>
      </w:pPr>
      <w:r w:rsidRPr="00897582">
        <w:rPr>
          <w:rFonts w:ascii="Calibri" w:eastAsia="Calibri" w:hAnsi="Calibri" w:cs="Calibri"/>
          <w:b/>
          <w:bCs/>
          <w:lang w:val="it-IT"/>
        </w:rPr>
        <w:t>Nel complesso,</w:t>
      </w:r>
      <w:r w:rsidRPr="00897582">
        <w:rPr>
          <w:rFonts w:ascii="Calibri" w:eastAsia="Calibri" w:hAnsi="Calibri" w:cs="Calibri"/>
          <w:lang w:val="it-IT"/>
        </w:rPr>
        <w:t xml:space="preserve"> i dati restituiscono un quadro articolato in cui gli effetti diretti dei dazi risultano relativamente concentrati, mentre quelli indiretti si diffondono in modo più ampio attraverso i legami produttivi e commerciali. Allo stesso tempo, emerge una significativa eterogeneità nelle capacità di reazione delle imprese, che fa emergere sia zone di inerzia o attendismo, sia chiari segnali di adattamento tra le realtà più esposte.</w:t>
      </w:r>
    </w:p>
    <w:p w14:paraId="2A5584E2" w14:textId="77777777" w:rsidR="00573DEC" w:rsidRDefault="00573DEC" w:rsidP="00573DEC">
      <w:pPr>
        <w:spacing w:before="240" w:after="120"/>
        <w:jc w:val="both"/>
        <w:rPr>
          <w:rFonts w:ascii="Calibri" w:eastAsia="Calibri" w:hAnsi="Calibri" w:cs="Calibri"/>
          <w:b/>
          <w:lang w:val="it-IT"/>
        </w:rPr>
      </w:pPr>
    </w:p>
    <w:p w14:paraId="67E7F7D1" w14:textId="56C99825" w:rsidR="00573DEC" w:rsidRPr="00DC7C2B" w:rsidRDefault="00573DEC" w:rsidP="00573DEC">
      <w:pPr>
        <w:spacing w:before="240" w:after="120"/>
        <w:jc w:val="both"/>
        <w:rPr>
          <w:rFonts w:ascii="Calibri" w:eastAsia="Calibri" w:hAnsi="Calibri" w:cs="Calibri"/>
          <w:b/>
          <w:lang w:val="it-IT"/>
        </w:rPr>
      </w:pPr>
      <w:r>
        <w:rPr>
          <w:rFonts w:ascii="Calibri" w:eastAsia="Calibri" w:hAnsi="Calibri" w:cs="Calibri"/>
          <w:b/>
          <w:lang w:val="it-IT"/>
        </w:rPr>
        <w:t>La valenza degli Accordi di libero scambio Ue-Mercosur e Ue-India</w:t>
      </w:r>
    </w:p>
    <w:p w14:paraId="1C1CA89C" w14:textId="77777777" w:rsidR="00077973" w:rsidRDefault="00573DEC" w:rsidP="00DC7C2B">
      <w:pPr>
        <w:spacing w:before="240" w:after="120"/>
        <w:jc w:val="both"/>
        <w:rPr>
          <w:rFonts w:ascii="Calibri" w:eastAsia="Calibri" w:hAnsi="Calibri" w:cs="Calibri"/>
          <w:lang w:val="it-IT"/>
        </w:rPr>
      </w:pPr>
      <w:r>
        <w:rPr>
          <w:rFonts w:ascii="Calibri" w:eastAsia="Calibri" w:hAnsi="Calibri" w:cs="Calibri"/>
          <w:lang w:val="it-IT"/>
        </w:rPr>
        <w:t>Fra le strategie di adattamento delle imprese allo shock tariffario, come si è appena visto, al primo posto si colloca la diversificazione dei mercati di sbocco. Opzione che oggi può essere facilitata anche da questi due Accordi di libero scambio, che - ricordando le parole di Draghi - hanno duplice valenza sia nell’ottica di potenziare i rapporti commerciali e industriali fra le aree coinvolte, sia nell’ottica di presidiare strategicamente mercati di approvvigionamento di materie prime.</w:t>
      </w:r>
      <w:r w:rsidR="00077973">
        <w:rPr>
          <w:rFonts w:ascii="Calibri" w:eastAsia="Calibri" w:hAnsi="Calibri" w:cs="Calibri"/>
          <w:lang w:val="it-IT"/>
        </w:rPr>
        <w:t xml:space="preserve"> </w:t>
      </w:r>
    </w:p>
    <w:p w14:paraId="06075610" w14:textId="1A03BAA9" w:rsidR="00573DEC" w:rsidRDefault="00573DEC" w:rsidP="00DC7C2B">
      <w:pPr>
        <w:spacing w:before="240" w:after="120"/>
        <w:jc w:val="both"/>
        <w:rPr>
          <w:rFonts w:ascii="Calibri" w:eastAsia="Calibri" w:hAnsi="Calibri" w:cs="Calibri"/>
          <w:lang w:val="it-IT"/>
        </w:rPr>
      </w:pPr>
      <w:r>
        <w:rPr>
          <w:rFonts w:ascii="Calibri" w:eastAsia="Calibri" w:hAnsi="Calibri" w:cs="Calibri"/>
          <w:lang w:val="it-IT"/>
        </w:rPr>
        <w:t>Di seguito si richiam</w:t>
      </w:r>
      <w:r w:rsidR="00543E51">
        <w:rPr>
          <w:rFonts w:ascii="Calibri" w:eastAsia="Calibri" w:hAnsi="Calibri" w:cs="Calibri"/>
          <w:lang w:val="it-IT"/>
        </w:rPr>
        <w:t xml:space="preserve">ano i principali numeri dell’interscambio </w:t>
      </w:r>
      <w:r w:rsidR="00077973">
        <w:rPr>
          <w:rFonts w:ascii="Calibri" w:eastAsia="Calibri" w:hAnsi="Calibri" w:cs="Calibri"/>
          <w:lang w:val="it-IT"/>
        </w:rPr>
        <w:t xml:space="preserve">dell’Italia </w:t>
      </w:r>
      <w:r w:rsidR="00543E51">
        <w:rPr>
          <w:rFonts w:ascii="Calibri" w:eastAsia="Calibri" w:hAnsi="Calibri" w:cs="Calibri"/>
          <w:lang w:val="it-IT"/>
        </w:rPr>
        <w:t xml:space="preserve">fra le due aree, così da dare un peso al potenziale in gioco (con </w:t>
      </w:r>
      <w:r w:rsidR="00077973">
        <w:rPr>
          <w:rFonts w:ascii="Calibri" w:eastAsia="Calibri" w:hAnsi="Calibri" w:cs="Calibri"/>
          <w:lang w:val="it-IT"/>
        </w:rPr>
        <w:t>analisi dei flussi di dettaglio per Veneto, Treviso e Belluno</w:t>
      </w:r>
      <w:r w:rsidR="00543E51">
        <w:rPr>
          <w:rFonts w:ascii="Calibri" w:eastAsia="Calibri" w:hAnsi="Calibri" w:cs="Calibri"/>
          <w:lang w:val="it-IT"/>
        </w:rPr>
        <w:t xml:space="preserve"> nelle due schede allegate al presente rapporto).</w:t>
      </w:r>
    </w:p>
    <w:p w14:paraId="15B59EB9" w14:textId="77777777" w:rsidR="00077973" w:rsidRDefault="00543E51" w:rsidP="00543E51">
      <w:pPr>
        <w:spacing w:before="240" w:after="120"/>
        <w:jc w:val="both"/>
        <w:rPr>
          <w:rFonts w:ascii="Calibri" w:eastAsia="Calibri" w:hAnsi="Calibri" w:cs="Calibri"/>
          <w:lang w:val="it-IT"/>
        </w:rPr>
      </w:pPr>
      <w:r w:rsidRPr="00543E51">
        <w:rPr>
          <w:rFonts w:ascii="Calibri" w:eastAsia="Calibri" w:hAnsi="Calibri" w:cs="Calibri"/>
          <w:lang w:val="it-IT"/>
        </w:rPr>
        <w:t>L’</w:t>
      </w:r>
      <w:r w:rsidRPr="00543E51">
        <w:rPr>
          <w:rFonts w:ascii="Calibri" w:eastAsia="Calibri" w:hAnsi="Calibri" w:cs="Calibri"/>
          <w:b/>
          <w:bCs/>
          <w:lang w:val="it-IT"/>
        </w:rPr>
        <w:t xml:space="preserve">Italia </w:t>
      </w:r>
      <w:r w:rsidRPr="00543E51">
        <w:rPr>
          <w:rFonts w:ascii="Calibri" w:eastAsia="Calibri" w:hAnsi="Calibri" w:cs="Calibri"/>
          <w:lang w:val="it-IT"/>
        </w:rPr>
        <w:t xml:space="preserve">ha esportato beni verso il </w:t>
      </w:r>
      <w:r w:rsidRPr="00543E51">
        <w:rPr>
          <w:rFonts w:ascii="Calibri" w:eastAsia="Calibri" w:hAnsi="Calibri" w:cs="Calibri"/>
          <w:b/>
          <w:bCs/>
          <w:lang w:val="it-IT"/>
        </w:rPr>
        <w:t>Mercosur</w:t>
      </w:r>
      <w:r w:rsidRPr="00543E51">
        <w:rPr>
          <w:rFonts w:ascii="Calibri" w:eastAsia="Calibri" w:hAnsi="Calibri" w:cs="Calibri"/>
          <w:lang w:val="it-IT"/>
        </w:rPr>
        <w:t xml:space="preserve"> per quasi 7,5 miliardi nel 2024 e, nello stesso periodo, ha effettuato acquisti dall’area per quasi 6,2 miliardi di euro. </w:t>
      </w:r>
      <w:r>
        <w:rPr>
          <w:rFonts w:ascii="Calibri" w:eastAsia="Calibri" w:hAnsi="Calibri" w:cs="Calibri"/>
          <w:lang w:val="it-IT"/>
        </w:rPr>
        <w:t>I</w:t>
      </w:r>
      <w:r w:rsidRPr="00543E51">
        <w:rPr>
          <w:rFonts w:ascii="Calibri" w:eastAsia="Calibri" w:hAnsi="Calibri" w:cs="Calibri"/>
          <w:lang w:val="it-IT"/>
        </w:rPr>
        <w:t>l Brasile rappresenta il principale partner dell’area con circa il 75% dei flussi commerciali (export ed import) concentrati in questo mercato.</w:t>
      </w:r>
      <w:r>
        <w:rPr>
          <w:rFonts w:ascii="Calibri" w:eastAsia="Calibri" w:hAnsi="Calibri" w:cs="Calibri"/>
          <w:lang w:val="it-IT"/>
        </w:rPr>
        <w:t xml:space="preserve"> </w:t>
      </w:r>
      <w:r w:rsidRPr="00543E51">
        <w:rPr>
          <w:rFonts w:ascii="Calibri" w:eastAsia="Calibri" w:hAnsi="Calibri" w:cs="Calibri"/>
          <w:lang w:val="it-IT"/>
        </w:rPr>
        <w:t>Macchinari, mezzi di trasporto, articoli farmaceutici, chimico-medicinali e botanici, sostanze e prodotti chimici le principali voci merceologiche esportate. Prodotti dell’agricoltura e pesca, carta e stampa, prodotti alimentari, bevande e tabacco sono invece i principali prodotti acquistati.</w:t>
      </w:r>
      <w:r w:rsidR="00077973">
        <w:rPr>
          <w:rFonts w:ascii="Calibri" w:eastAsia="Calibri" w:hAnsi="Calibri" w:cs="Calibri"/>
          <w:lang w:val="it-IT"/>
        </w:rPr>
        <w:t xml:space="preserve"> </w:t>
      </w:r>
    </w:p>
    <w:p w14:paraId="55FCDE48" w14:textId="25C1C52A" w:rsidR="00077973" w:rsidRDefault="00543E51" w:rsidP="00543E51">
      <w:pPr>
        <w:spacing w:before="240" w:after="120"/>
        <w:jc w:val="both"/>
        <w:rPr>
          <w:rFonts w:ascii="Calibri" w:eastAsia="Calibri" w:hAnsi="Calibri" w:cs="Calibri"/>
          <w:lang w:val="it-IT"/>
        </w:rPr>
      </w:pPr>
      <w:r w:rsidRPr="00543E51">
        <w:rPr>
          <w:rFonts w:ascii="Calibri" w:eastAsia="Calibri" w:hAnsi="Calibri" w:cs="Calibri"/>
          <w:lang w:val="it-IT"/>
        </w:rPr>
        <w:lastRenderedPageBreak/>
        <w:t>L’import italiano dal Mercosur di prodotti dell’agricoltura e pesca ammonta a quasi 1,8 miliardi di euro per l’anno 2024 e rappresenta l’8,4% del totale import nazionale</w:t>
      </w:r>
      <w:r w:rsidR="00077973">
        <w:rPr>
          <w:rFonts w:ascii="Calibri" w:eastAsia="Calibri" w:hAnsi="Calibri" w:cs="Calibri"/>
          <w:lang w:val="it-IT"/>
        </w:rPr>
        <w:t xml:space="preserve">: per il 30% è </w:t>
      </w:r>
      <w:r w:rsidR="00077973" w:rsidRPr="00077973">
        <w:rPr>
          <w:rFonts w:ascii="Calibri" w:eastAsia="Calibri" w:hAnsi="Calibri" w:cs="Calibri"/>
          <w:i/>
          <w:iCs/>
          <w:lang w:val="it-IT"/>
        </w:rPr>
        <w:t>caffè, cacao, tea</w:t>
      </w:r>
      <w:r w:rsidR="00077973">
        <w:rPr>
          <w:rFonts w:ascii="Calibri" w:eastAsia="Calibri" w:hAnsi="Calibri" w:cs="Calibri"/>
          <w:lang w:val="it-IT"/>
        </w:rPr>
        <w:t xml:space="preserve">; per il 45% </w:t>
      </w:r>
      <w:r w:rsidR="00077973" w:rsidRPr="00077973">
        <w:rPr>
          <w:rFonts w:ascii="Calibri" w:eastAsia="Calibri" w:hAnsi="Calibri" w:cs="Calibri"/>
          <w:i/>
          <w:iCs/>
          <w:lang w:val="it-IT"/>
        </w:rPr>
        <w:t>semi oleosi</w:t>
      </w:r>
      <w:r w:rsidR="00077973">
        <w:rPr>
          <w:rFonts w:ascii="Calibri" w:eastAsia="Calibri" w:hAnsi="Calibri" w:cs="Calibri"/>
          <w:lang w:val="it-IT"/>
        </w:rPr>
        <w:t xml:space="preserve">. </w:t>
      </w:r>
    </w:p>
    <w:p w14:paraId="6D430033" w14:textId="59A12251" w:rsidR="00543E51" w:rsidRPr="00543E51" w:rsidRDefault="00543E51" w:rsidP="004A30DB">
      <w:pPr>
        <w:spacing w:before="240" w:after="120"/>
        <w:jc w:val="both"/>
        <w:rPr>
          <w:rFonts w:ascii="Calibri" w:eastAsia="Calibri" w:hAnsi="Calibri" w:cs="Calibri"/>
          <w:lang w:val="it-IT"/>
        </w:rPr>
      </w:pPr>
      <w:r w:rsidRPr="00543E51">
        <w:rPr>
          <w:rFonts w:ascii="Calibri" w:eastAsia="Calibri" w:hAnsi="Calibri" w:cs="Calibri"/>
          <w:lang w:val="it-IT"/>
        </w:rPr>
        <w:t>Le importazioni nazionali di prodotti alimentari, bevande e tabacco</w:t>
      </w:r>
      <w:r w:rsidR="00077973">
        <w:rPr>
          <w:rFonts w:ascii="Calibri" w:eastAsia="Calibri" w:hAnsi="Calibri" w:cs="Calibri"/>
          <w:lang w:val="it-IT"/>
        </w:rPr>
        <w:t xml:space="preserve"> dal Mercosur</w:t>
      </w:r>
      <w:r w:rsidRPr="00543E51">
        <w:rPr>
          <w:rFonts w:ascii="Calibri" w:eastAsia="Calibri" w:hAnsi="Calibri" w:cs="Calibri"/>
          <w:lang w:val="it-IT"/>
        </w:rPr>
        <w:t xml:space="preserve"> valgono 1,</w:t>
      </w:r>
      <w:r>
        <w:rPr>
          <w:rFonts w:ascii="Calibri" w:eastAsia="Calibri" w:hAnsi="Calibri" w:cs="Calibri"/>
          <w:lang w:val="it-IT"/>
        </w:rPr>
        <w:t>3</w:t>
      </w:r>
      <w:r w:rsidRPr="00543E51">
        <w:rPr>
          <w:rFonts w:ascii="Calibri" w:eastAsia="Calibri" w:hAnsi="Calibri" w:cs="Calibri"/>
          <w:lang w:val="it-IT"/>
        </w:rPr>
        <w:t xml:space="preserve"> miliardi di euro, che rappresentano il 3% dell’import nazionale, anche in questo caso con una forte polarizzazione su</w:t>
      </w:r>
      <w:r w:rsidR="00077973">
        <w:rPr>
          <w:rFonts w:ascii="Calibri" w:eastAsia="Calibri" w:hAnsi="Calibri" w:cs="Calibri"/>
          <w:lang w:val="it-IT"/>
        </w:rPr>
        <w:t xml:space="preserve"> </w:t>
      </w:r>
      <w:r w:rsidRPr="00543E51">
        <w:rPr>
          <w:rFonts w:ascii="Calibri" w:eastAsia="Calibri" w:hAnsi="Calibri" w:cs="Calibri"/>
          <w:i/>
          <w:iCs/>
          <w:lang w:val="it-IT"/>
        </w:rPr>
        <w:t>Olio raffinato o grezzo da semi o frutti oleosi</w:t>
      </w:r>
      <w:r w:rsidRPr="00543E51">
        <w:rPr>
          <w:rFonts w:ascii="Calibri" w:eastAsia="Calibri" w:hAnsi="Calibri" w:cs="Calibri"/>
          <w:lang w:val="it-IT"/>
        </w:rPr>
        <w:t xml:space="preserve"> (17,3% sul totale import nazionale per questo prodotto)</w:t>
      </w:r>
      <w:r w:rsidR="004A30DB">
        <w:rPr>
          <w:rFonts w:ascii="Calibri" w:eastAsia="Calibri" w:hAnsi="Calibri" w:cs="Calibri"/>
          <w:lang w:val="it-IT"/>
        </w:rPr>
        <w:t xml:space="preserve">, </w:t>
      </w:r>
      <w:r w:rsidRPr="00543E51">
        <w:rPr>
          <w:rFonts w:ascii="Calibri" w:eastAsia="Calibri" w:hAnsi="Calibri" w:cs="Calibri"/>
          <w:i/>
          <w:iCs/>
          <w:lang w:val="it-IT"/>
        </w:rPr>
        <w:t>Carne e prodotti vari della macellazione</w:t>
      </w:r>
      <w:r w:rsidRPr="00543E51">
        <w:rPr>
          <w:rFonts w:ascii="Calibri" w:eastAsia="Calibri" w:hAnsi="Calibri" w:cs="Calibri"/>
          <w:lang w:val="it-IT"/>
        </w:rPr>
        <w:t xml:space="preserve"> (4,6%</w:t>
      </w:r>
      <w:r w:rsidR="004A30DB">
        <w:rPr>
          <w:rFonts w:ascii="Calibri" w:eastAsia="Calibri" w:hAnsi="Calibri" w:cs="Calibri"/>
          <w:lang w:val="it-IT"/>
        </w:rPr>
        <w:t xml:space="preserve">), </w:t>
      </w:r>
      <w:r w:rsidRPr="00543E51">
        <w:rPr>
          <w:rFonts w:ascii="Calibri" w:eastAsia="Calibri" w:hAnsi="Calibri" w:cs="Calibri"/>
          <w:i/>
          <w:iCs/>
          <w:lang w:val="it-IT"/>
        </w:rPr>
        <w:t>Pesce, crostacei e molluschi lavorati e conservati</w:t>
      </w:r>
      <w:r w:rsidRPr="00543E51">
        <w:rPr>
          <w:rFonts w:ascii="Calibri" w:eastAsia="Calibri" w:hAnsi="Calibri" w:cs="Calibri"/>
          <w:lang w:val="it-IT"/>
        </w:rPr>
        <w:t xml:space="preserve"> (3,0%</w:t>
      </w:r>
      <w:r w:rsidR="004A30DB">
        <w:rPr>
          <w:rFonts w:ascii="Calibri" w:eastAsia="Calibri" w:hAnsi="Calibri" w:cs="Calibri"/>
          <w:lang w:val="it-IT"/>
        </w:rPr>
        <w:t>)</w:t>
      </w:r>
      <w:r w:rsidRPr="00543E51">
        <w:rPr>
          <w:rFonts w:ascii="Calibri" w:eastAsia="Calibri" w:hAnsi="Calibri" w:cs="Calibri"/>
          <w:lang w:val="it-IT"/>
        </w:rPr>
        <w:t>.</w:t>
      </w:r>
    </w:p>
    <w:p w14:paraId="3E6BA52E" w14:textId="77777777" w:rsidR="00543E51" w:rsidRPr="00543E51" w:rsidRDefault="00543E51" w:rsidP="00543E51">
      <w:pPr>
        <w:spacing w:before="240" w:after="120"/>
        <w:jc w:val="both"/>
        <w:rPr>
          <w:rFonts w:ascii="Calibri" w:eastAsia="Calibri" w:hAnsi="Calibri" w:cs="Calibri"/>
          <w:lang w:val="it-IT"/>
        </w:rPr>
      </w:pPr>
      <w:r w:rsidRPr="00543E51">
        <w:rPr>
          <w:rFonts w:ascii="Calibri" w:eastAsia="Calibri" w:hAnsi="Calibri" w:cs="Calibri"/>
          <w:lang w:val="it-IT"/>
        </w:rPr>
        <w:t>Altra voce piuttosto rilevante nell’import nazionale dal Mercosur l’Italia riguarda i prodotti di pasta-carta per quasi 1,4 miliardi, pari al 56,4% del totale nazionale per questa voce.</w:t>
      </w:r>
    </w:p>
    <w:p w14:paraId="75254DE9" w14:textId="17CD0C04" w:rsidR="00543E51" w:rsidRPr="000B739F" w:rsidRDefault="000B739F" w:rsidP="00543E51">
      <w:pPr>
        <w:spacing w:before="240" w:after="120"/>
        <w:jc w:val="both"/>
        <w:rPr>
          <w:rFonts w:ascii="Calibri" w:eastAsia="Calibri" w:hAnsi="Calibri" w:cs="Calibri"/>
          <w:sz w:val="20"/>
          <w:szCs w:val="20"/>
          <w:lang w:val="it-IT"/>
        </w:rPr>
      </w:pPr>
      <w:r w:rsidRPr="000B739F">
        <w:rPr>
          <w:rFonts w:ascii="Calibri" w:eastAsia="Calibri" w:hAnsi="Calibri" w:cs="Calibri"/>
          <w:b/>
          <w:sz w:val="20"/>
          <w:szCs w:val="20"/>
          <w:lang w:val="it-IT"/>
        </w:rPr>
        <w:t xml:space="preserve">Tab. 3 - </w:t>
      </w:r>
      <w:r w:rsidR="00543E51" w:rsidRPr="000B739F">
        <w:rPr>
          <w:rFonts w:ascii="Calibri" w:eastAsia="Calibri" w:hAnsi="Calibri" w:cs="Calibri"/>
          <w:b/>
          <w:color w:val="00B0F0"/>
          <w:sz w:val="20"/>
          <w:szCs w:val="20"/>
          <w:lang w:val="it-IT"/>
        </w:rPr>
        <w:t>ITALIA.</w:t>
      </w:r>
      <w:r w:rsidR="00543E51" w:rsidRPr="000B739F">
        <w:rPr>
          <w:rFonts w:ascii="Calibri" w:eastAsia="Calibri" w:hAnsi="Calibri" w:cs="Calibri"/>
          <w:b/>
          <w:sz w:val="20"/>
          <w:szCs w:val="20"/>
          <w:lang w:val="it-IT"/>
        </w:rPr>
        <w:t xml:space="preserve"> Importazioni dal Mercosur per le principali voci merceologiche. Gennaio-dicembre 2024. </w:t>
      </w:r>
      <w:r w:rsidR="00543E51" w:rsidRPr="000B739F">
        <w:rPr>
          <w:rFonts w:ascii="Calibri" w:eastAsia="Calibri" w:hAnsi="Calibri" w:cs="Calibri"/>
          <w:bCs/>
          <w:sz w:val="20"/>
          <w:szCs w:val="20"/>
          <w:lang w:val="it-IT"/>
        </w:rPr>
        <w:t xml:space="preserve">Valori assoluti in migliaia di euro, variazioni e pesi percentuali. Graduatoria per valori import 2024. </w:t>
      </w:r>
    </w:p>
    <w:p w14:paraId="332AD65C" w14:textId="7682AE3E" w:rsidR="00543E51" w:rsidRPr="00543E51" w:rsidRDefault="00543E51" w:rsidP="00543E51">
      <w:pPr>
        <w:spacing w:before="240" w:after="120"/>
        <w:jc w:val="both"/>
        <w:rPr>
          <w:rFonts w:ascii="Calibri" w:eastAsia="Calibri" w:hAnsi="Calibri" w:cs="Calibri"/>
          <w:lang w:val="it-IT"/>
        </w:rPr>
      </w:pPr>
      <w:r w:rsidRPr="00543E51">
        <w:rPr>
          <w:rFonts w:ascii="Calibri" w:eastAsia="Calibri" w:hAnsi="Calibri" w:cs="Calibri"/>
          <w:noProof/>
          <w:lang w:val="it-IT"/>
        </w:rPr>
        <w:drawing>
          <wp:inline distT="0" distB="0" distL="0" distR="0" wp14:anchorId="22BC74E3" wp14:editId="5E97897F">
            <wp:extent cx="5400675" cy="3630930"/>
            <wp:effectExtent l="0" t="0" r="9525" b="7620"/>
            <wp:docPr id="1434623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3630930"/>
                    </a:xfrm>
                    <a:prstGeom prst="rect">
                      <a:avLst/>
                    </a:prstGeom>
                    <a:noFill/>
                    <a:ln>
                      <a:noFill/>
                    </a:ln>
                  </pic:spPr>
                </pic:pic>
              </a:graphicData>
            </a:graphic>
          </wp:inline>
        </w:drawing>
      </w:r>
    </w:p>
    <w:p w14:paraId="0D6E64DC" w14:textId="77777777" w:rsidR="00543E51" w:rsidRPr="000B739F" w:rsidRDefault="00543E51" w:rsidP="00543E51">
      <w:pPr>
        <w:spacing w:before="240" w:after="120"/>
        <w:jc w:val="both"/>
        <w:rPr>
          <w:rFonts w:ascii="Arial" w:eastAsia="Calibri" w:hAnsi="Arial" w:cs="Arial"/>
          <w:b/>
          <w:sz w:val="16"/>
          <w:szCs w:val="16"/>
          <w:lang w:val="it-IT"/>
        </w:rPr>
      </w:pPr>
      <w:r w:rsidRPr="000B739F">
        <w:rPr>
          <w:rFonts w:ascii="Arial" w:eastAsia="Calibri" w:hAnsi="Arial" w:cs="Arial"/>
          <w:bCs/>
          <w:i/>
          <w:sz w:val="16"/>
          <w:szCs w:val="16"/>
          <w:lang w:val="it-IT"/>
        </w:rPr>
        <w:t>Fonte: elab. Ufficio Studi e Statistica CCIAA Treviso – Belluno su dati ISTAT</w:t>
      </w:r>
    </w:p>
    <w:p w14:paraId="5F2012CD" w14:textId="77777777" w:rsidR="00543E51" w:rsidRDefault="00543E51" w:rsidP="00543E51">
      <w:pPr>
        <w:spacing w:before="240" w:after="120"/>
        <w:jc w:val="both"/>
        <w:rPr>
          <w:rFonts w:ascii="Calibri" w:eastAsia="Calibri" w:hAnsi="Calibri" w:cs="Calibri"/>
          <w:lang w:val="it-IT"/>
        </w:rPr>
      </w:pPr>
    </w:p>
    <w:p w14:paraId="19FF8E95" w14:textId="77777777" w:rsidR="00891549" w:rsidRPr="00543E51" w:rsidRDefault="00891549" w:rsidP="00543E51">
      <w:pPr>
        <w:spacing w:before="240" w:after="120"/>
        <w:jc w:val="both"/>
        <w:rPr>
          <w:rFonts w:ascii="Calibri" w:eastAsia="Calibri" w:hAnsi="Calibri" w:cs="Calibri"/>
          <w:lang w:val="it-IT"/>
        </w:rPr>
      </w:pPr>
    </w:p>
    <w:p w14:paraId="19EBB01A" w14:textId="0B642523" w:rsidR="00101B92" w:rsidRPr="00101B92" w:rsidRDefault="00101B92" w:rsidP="00101B92">
      <w:pPr>
        <w:spacing w:before="240" w:after="120"/>
        <w:jc w:val="both"/>
        <w:rPr>
          <w:rFonts w:ascii="Calibri" w:eastAsia="Calibri" w:hAnsi="Calibri" w:cs="Calibri"/>
          <w:lang w:val="it-IT"/>
        </w:rPr>
      </w:pPr>
      <w:r>
        <w:rPr>
          <w:rFonts w:ascii="Calibri" w:eastAsia="Calibri" w:hAnsi="Calibri" w:cs="Calibri"/>
          <w:lang w:val="it-IT"/>
        </w:rPr>
        <w:lastRenderedPageBreak/>
        <w:t>Con riferimento all’</w:t>
      </w:r>
      <w:r w:rsidRPr="0095276C">
        <w:rPr>
          <w:rFonts w:ascii="Calibri" w:eastAsia="Calibri" w:hAnsi="Calibri" w:cs="Calibri"/>
          <w:b/>
          <w:bCs/>
          <w:lang w:val="it-IT"/>
        </w:rPr>
        <w:t>India</w:t>
      </w:r>
      <w:r>
        <w:rPr>
          <w:rFonts w:ascii="Calibri" w:eastAsia="Calibri" w:hAnsi="Calibri" w:cs="Calibri"/>
          <w:lang w:val="it-IT"/>
        </w:rPr>
        <w:t xml:space="preserve">, Paese </w:t>
      </w:r>
      <w:r w:rsidR="003A74A5">
        <w:rPr>
          <w:rFonts w:ascii="Calibri" w:eastAsia="Calibri" w:hAnsi="Calibri" w:cs="Calibri"/>
          <w:lang w:val="it-IT"/>
        </w:rPr>
        <w:t xml:space="preserve">il cui PIL </w:t>
      </w:r>
      <w:r w:rsidR="0095276C">
        <w:rPr>
          <w:rFonts w:ascii="Calibri" w:eastAsia="Calibri" w:hAnsi="Calibri" w:cs="Calibri"/>
          <w:lang w:val="it-IT"/>
        </w:rPr>
        <w:t xml:space="preserve">è interessato dal </w:t>
      </w:r>
      <w:r w:rsidR="003A74A5">
        <w:rPr>
          <w:rFonts w:ascii="Calibri" w:eastAsia="Calibri" w:hAnsi="Calibri" w:cs="Calibri"/>
          <w:lang w:val="it-IT"/>
        </w:rPr>
        <w:t>più alto tasso di crescita</w:t>
      </w:r>
      <w:r w:rsidR="0095276C">
        <w:rPr>
          <w:rFonts w:ascii="Calibri" w:eastAsia="Calibri" w:hAnsi="Calibri" w:cs="Calibri"/>
          <w:lang w:val="it-IT"/>
        </w:rPr>
        <w:t xml:space="preserve"> per il 2026 (</w:t>
      </w:r>
      <w:r w:rsidR="003A74A5">
        <w:rPr>
          <w:rFonts w:ascii="Calibri" w:eastAsia="Calibri" w:hAnsi="Calibri" w:cs="Calibri"/>
          <w:lang w:val="it-IT"/>
        </w:rPr>
        <w:t>+6,4%</w:t>
      </w:r>
      <w:r w:rsidR="0095276C">
        <w:rPr>
          <w:rFonts w:ascii="Calibri" w:eastAsia="Calibri" w:hAnsi="Calibri" w:cs="Calibri"/>
          <w:lang w:val="it-IT"/>
        </w:rPr>
        <w:t xml:space="preserve">) secondo le stime FMI, questi i numeri dell’interscambio con l’Italia. L’export ammonta a </w:t>
      </w:r>
      <w:r w:rsidRPr="00101B92">
        <w:rPr>
          <w:rFonts w:ascii="Calibri" w:eastAsia="Calibri" w:hAnsi="Calibri" w:cs="Calibri"/>
          <w:lang w:val="it-IT"/>
        </w:rPr>
        <w:t>5,2 miliardi</w:t>
      </w:r>
      <w:r w:rsidR="0095276C">
        <w:rPr>
          <w:rFonts w:ascii="Calibri" w:eastAsia="Calibri" w:hAnsi="Calibri" w:cs="Calibri"/>
          <w:lang w:val="it-IT"/>
        </w:rPr>
        <w:t xml:space="preserve"> di euro e risulta </w:t>
      </w:r>
      <w:r w:rsidRPr="00101B92">
        <w:rPr>
          <w:rFonts w:ascii="Calibri" w:eastAsia="Calibri" w:hAnsi="Calibri" w:cs="Calibri"/>
          <w:lang w:val="it-IT"/>
        </w:rPr>
        <w:t>molto concentrato</w:t>
      </w:r>
      <w:r w:rsidR="0095276C">
        <w:rPr>
          <w:rFonts w:ascii="Calibri" w:eastAsia="Calibri" w:hAnsi="Calibri" w:cs="Calibri"/>
          <w:lang w:val="it-IT"/>
        </w:rPr>
        <w:t xml:space="preserve"> su poche voci merceologiche</w:t>
      </w:r>
      <w:r w:rsidRPr="00101B92">
        <w:rPr>
          <w:rFonts w:ascii="Calibri" w:eastAsia="Calibri" w:hAnsi="Calibri" w:cs="Calibri"/>
          <w:lang w:val="it-IT"/>
        </w:rPr>
        <w:t xml:space="preserve">: per il 40,2% è rappresentato dai macchinari, che valgono 2,1 miliardi di euro. Seguono chimica/farmaceutica/fibre con 820 milioni (15,7%), poi un insieme di comparti più piccoli (elettronica/apparecchi medicali 5,3%, altre apparecchiature elettriche 4,6%, metallurgia 4,2%, ecc.). </w:t>
      </w:r>
    </w:p>
    <w:p w14:paraId="01CF9789" w14:textId="4B6C0D11" w:rsidR="00101B92" w:rsidRPr="00101B92" w:rsidRDefault="00101B92" w:rsidP="00101B92">
      <w:pPr>
        <w:spacing w:before="240" w:after="120"/>
        <w:jc w:val="both"/>
        <w:rPr>
          <w:rFonts w:ascii="Calibri" w:eastAsia="Calibri" w:hAnsi="Calibri" w:cs="Calibri"/>
          <w:lang w:val="it-IT"/>
        </w:rPr>
      </w:pPr>
      <w:r w:rsidRPr="00101B92">
        <w:rPr>
          <w:rFonts w:ascii="Calibri" w:eastAsia="Calibri" w:hAnsi="Calibri" w:cs="Calibri"/>
          <w:lang w:val="it-IT"/>
        </w:rPr>
        <w:t xml:space="preserve">Sul </w:t>
      </w:r>
      <w:r w:rsidR="0095276C">
        <w:rPr>
          <w:rFonts w:ascii="Calibri" w:eastAsia="Calibri" w:hAnsi="Calibri" w:cs="Calibri"/>
          <w:lang w:val="it-IT"/>
        </w:rPr>
        <w:t xml:space="preserve">fronte </w:t>
      </w:r>
      <w:r w:rsidRPr="00101B92">
        <w:rPr>
          <w:rFonts w:ascii="Calibri" w:eastAsia="Calibri" w:hAnsi="Calibri" w:cs="Calibri"/>
          <w:lang w:val="it-IT"/>
        </w:rPr>
        <w:t xml:space="preserve">import, nel 2024 l’Italia </w:t>
      </w:r>
      <w:r w:rsidR="0095276C">
        <w:rPr>
          <w:rFonts w:ascii="Calibri" w:eastAsia="Calibri" w:hAnsi="Calibri" w:cs="Calibri"/>
          <w:lang w:val="it-IT"/>
        </w:rPr>
        <w:t xml:space="preserve">ha </w:t>
      </w:r>
      <w:r w:rsidRPr="00101B92">
        <w:rPr>
          <w:rFonts w:ascii="Calibri" w:eastAsia="Calibri" w:hAnsi="Calibri" w:cs="Calibri"/>
          <w:lang w:val="it-IT"/>
        </w:rPr>
        <w:t>compra dall’India 9,2 miliardi</w:t>
      </w:r>
      <w:r w:rsidR="0095276C">
        <w:rPr>
          <w:rFonts w:ascii="Calibri" w:eastAsia="Calibri" w:hAnsi="Calibri" w:cs="Calibri"/>
          <w:lang w:val="it-IT"/>
        </w:rPr>
        <w:t xml:space="preserve"> di euro di beni, soprattutto metallurgia (per 1,8 miliardi): l’India è il secondo produttore al mondo di acciaio. Le altre voci rilevanti dell’import italiano dall’India sono </w:t>
      </w:r>
      <w:r w:rsidRPr="00101B92">
        <w:rPr>
          <w:rFonts w:ascii="Calibri" w:eastAsia="Calibri" w:hAnsi="Calibri" w:cs="Calibri"/>
          <w:lang w:val="it-IT"/>
        </w:rPr>
        <w:t xml:space="preserve">elettronica/apparecchi medicali (1,4 miliardi, 15,1%), chimica/farmaceutica/fibre (1,3 miliardi, 14,7%), macchinari (8,5%) e </w:t>
      </w:r>
      <w:r w:rsidR="0095276C">
        <w:rPr>
          <w:rFonts w:ascii="Calibri" w:eastAsia="Calibri" w:hAnsi="Calibri" w:cs="Calibri"/>
          <w:lang w:val="it-IT"/>
        </w:rPr>
        <w:t xml:space="preserve">prodotti del </w:t>
      </w:r>
      <w:r w:rsidRPr="00101B92">
        <w:rPr>
          <w:rFonts w:ascii="Calibri" w:eastAsia="Calibri" w:hAnsi="Calibri" w:cs="Calibri"/>
          <w:lang w:val="it-IT"/>
        </w:rPr>
        <w:t>tessile</w:t>
      </w:r>
      <w:r w:rsidR="0095276C">
        <w:rPr>
          <w:rFonts w:ascii="Calibri" w:eastAsia="Calibri" w:hAnsi="Calibri" w:cs="Calibri"/>
          <w:lang w:val="it-IT"/>
        </w:rPr>
        <w:t>-</w:t>
      </w:r>
      <w:r w:rsidRPr="00101B92">
        <w:rPr>
          <w:rFonts w:ascii="Calibri" w:eastAsia="Calibri" w:hAnsi="Calibri" w:cs="Calibri"/>
          <w:lang w:val="it-IT"/>
        </w:rPr>
        <w:t>abbigliamento (8,0%).</w:t>
      </w:r>
    </w:p>
    <w:p w14:paraId="5229E289" w14:textId="77777777" w:rsidR="002C54C1" w:rsidRDefault="002C54C1" w:rsidP="00DC7C2B">
      <w:pPr>
        <w:spacing w:before="240" w:after="120"/>
        <w:jc w:val="both"/>
        <w:rPr>
          <w:rFonts w:ascii="Calibri" w:eastAsia="Calibri" w:hAnsi="Calibri" w:cs="Calibri"/>
          <w:lang w:val="it-IT"/>
        </w:rPr>
      </w:pPr>
    </w:p>
    <w:p w14:paraId="77555265" w14:textId="7CA719A3" w:rsidR="00DC7C2B" w:rsidRPr="00DC7C2B" w:rsidRDefault="00DC7C2B" w:rsidP="00DC7C2B">
      <w:pPr>
        <w:spacing w:before="240" w:after="120"/>
        <w:jc w:val="both"/>
        <w:rPr>
          <w:rFonts w:ascii="Calibri" w:eastAsia="Calibri" w:hAnsi="Calibri" w:cs="Calibri"/>
          <w:b/>
          <w:lang w:val="it-IT"/>
        </w:rPr>
      </w:pPr>
      <w:r>
        <w:rPr>
          <w:rFonts w:ascii="Calibri" w:eastAsia="Calibri" w:hAnsi="Calibri" w:cs="Calibri"/>
          <w:b/>
          <w:lang w:val="it-IT"/>
        </w:rPr>
        <w:t>In questi scenari: i continui investimenti delle imprese sulle tecnologie digitali</w:t>
      </w:r>
    </w:p>
    <w:p w14:paraId="289FAD52" w14:textId="2452BD06" w:rsidR="004A0F6E" w:rsidRDefault="00E14364" w:rsidP="00DC7C2B">
      <w:pPr>
        <w:spacing w:before="240" w:after="120"/>
        <w:jc w:val="both"/>
        <w:rPr>
          <w:rFonts w:ascii="Calibri" w:eastAsia="Calibri" w:hAnsi="Calibri" w:cs="Calibri"/>
          <w:lang w:val="it-IT"/>
        </w:rPr>
      </w:pPr>
      <w:r>
        <w:rPr>
          <w:rFonts w:ascii="Calibri" w:eastAsia="Calibri" w:hAnsi="Calibri" w:cs="Calibri"/>
          <w:lang w:val="it-IT"/>
        </w:rPr>
        <w:t>L’esposizione continua delle imprese a questi scenari di in</w:t>
      </w:r>
      <w:r w:rsidR="009212AC">
        <w:rPr>
          <w:rFonts w:ascii="Calibri" w:eastAsia="Calibri" w:hAnsi="Calibri" w:cs="Calibri"/>
          <w:lang w:val="it-IT"/>
        </w:rPr>
        <w:t>certezza</w:t>
      </w:r>
      <w:r w:rsidR="0095276C">
        <w:rPr>
          <w:rFonts w:ascii="Calibri" w:eastAsia="Calibri" w:hAnsi="Calibri" w:cs="Calibri"/>
          <w:lang w:val="it-IT"/>
        </w:rPr>
        <w:t>, agli shock tariffari, ma anche alla necessità di diversificare i propri mercati di sbocco</w:t>
      </w:r>
      <w:r>
        <w:rPr>
          <w:rFonts w:ascii="Calibri" w:eastAsia="Calibri" w:hAnsi="Calibri" w:cs="Calibri"/>
          <w:lang w:val="it-IT"/>
        </w:rPr>
        <w:t xml:space="preserve">, </w:t>
      </w:r>
      <w:r w:rsidR="0095276C">
        <w:rPr>
          <w:rFonts w:ascii="Calibri" w:eastAsia="Calibri" w:hAnsi="Calibri" w:cs="Calibri"/>
          <w:lang w:val="it-IT"/>
        </w:rPr>
        <w:t xml:space="preserve">sta </w:t>
      </w:r>
      <w:r w:rsidR="009212AC">
        <w:rPr>
          <w:rFonts w:ascii="Calibri" w:eastAsia="Calibri" w:hAnsi="Calibri" w:cs="Calibri"/>
          <w:lang w:val="it-IT"/>
        </w:rPr>
        <w:t xml:space="preserve">anche generando degli effetti “proattivi” interessanti sugli investimenti, in particolare su quelle tecnologie </w:t>
      </w:r>
      <w:r>
        <w:rPr>
          <w:rFonts w:ascii="Calibri" w:eastAsia="Calibri" w:hAnsi="Calibri" w:cs="Calibri"/>
          <w:lang w:val="it-IT"/>
        </w:rPr>
        <w:t xml:space="preserve">abilitanti all’agilità gestionale, ad una programmazione industriale </w:t>
      </w:r>
      <w:r w:rsidR="004A0F6E">
        <w:rPr>
          <w:rFonts w:ascii="Calibri" w:eastAsia="Calibri" w:hAnsi="Calibri" w:cs="Calibri"/>
          <w:lang w:val="it-IT"/>
        </w:rPr>
        <w:t>che incorpori logiche decisionali più dinamiche, adattive e predittive e al tempo stesso. Ciò in aggiunta a consolidat</w:t>
      </w:r>
      <w:r w:rsidR="009212AC">
        <w:rPr>
          <w:rFonts w:ascii="Calibri" w:eastAsia="Calibri" w:hAnsi="Calibri" w:cs="Calibri"/>
          <w:lang w:val="it-IT"/>
        </w:rPr>
        <w:t>e scelte</w:t>
      </w:r>
      <w:r w:rsidR="004A0F6E">
        <w:rPr>
          <w:rFonts w:ascii="Calibri" w:eastAsia="Calibri" w:hAnsi="Calibri" w:cs="Calibri"/>
          <w:lang w:val="it-IT"/>
        </w:rPr>
        <w:t xml:space="preserve"> di investimento sull’automazione industriale, che oltre a rendere più </w:t>
      </w:r>
      <w:r w:rsidR="009212AC">
        <w:rPr>
          <w:rFonts w:ascii="Calibri" w:eastAsia="Calibri" w:hAnsi="Calibri" w:cs="Calibri"/>
          <w:lang w:val="it-IT"/>
        </w:rPr>
        <w:t>intelligenti</w:t>
      </w:r>
      <w:r w:rsidR="004A0F6E">
        <w:rPr>
          <w:rFonts w:ascii="Calibri" w:eastAsia="Calibri" w:hAnsi="Calibri" w:cs="Calibri"/>
          <w:lang w:val="it-IT"/>
        </w:rPr>
        <w:t xml:space="preserve"> le </w:t>
      </w:r>
      <w:r w:rsidR="004A0F6E" w:rsidRPr="004A0F6E">
        <w:rPr>
          <w:rFonts w:ascii="Calibri" w:eastAsia="Calibri" w:hAnsi="Calibri" w:cs="Calibri"/>
          <w:i/>
          <w:iCs/>
          <w:lang w:val="it-IT"/>
        </w:rPr>
        <w:t>operations</w:t>
      </w:r>
      <w:r w:rsidR="004A0F6E">
        <w:rPr>
          <w:rFonts w:ascii="Calibri" w:eastAsia="Calibri" w:hAnsi="Calibri" w:cs="Calibri"/>
          <w:lang w:val="it-IT"/>
        </w:rPr>
        <w:t xml:space="preserve">, sono anche funzionali a rispondere all’annosa questione del </w:t>
      </w:r>
      <w:r w:rsidR="004A0F6E" w:rsidRPr="004A0F6E">
        <w:rPr>
          <w:rFonts w:ascii="Calibri" w:eastAsia="Calibri" w:hAnsi="Calibri" w:cs="Calibri"/>
          <w:i/>
          <w:iCs/>
          <w:lang w:val="it-IT"/>
        </w:rPr>
        <w:t>mismatching</w:t>
      </w:r>
      <w:r w:rsidR="004A0F6E">
        <w:rPr>
          <w:rFonts w:ascii="Calibri" w:eastAsia="Calibri" w:hAnsi="Calibri" w:cs="Calibri"/>
          <w:lang w:val="it-IT"/>
        </w:rPr>
        <w:t xml:space="preserve"> occupazionale.</w:t>
      </w:r>
    </w:p>
    <w:p w14:paraId="65C00CFC" w14:textId="71F197F6" w:rsidR="009212AC" w:rsidRDefault="009212AC" w:rsidP="002C6092">
      <w:pPr>
        <w:spacing w:before="240" w:after="120"/>
        <w:jc w:val="both"/>
        <w:rPr>
          <w:rFonts w:ascii="Calibri" w:eastAsia="Calibri" w:hAnsi="Calibri" w:cs="Calibri"/>
          <w:lang w:val="it-IT"/>
        </w:rPr>
      </w:pPr>
      <w:r>
        <w:rPr>
          <w:rFonts w:ascii="Calibri" w:eastAsia="Calibri" w:hAnsi="Calibri" w:cs="Calibri"/>
          <w:lang w:val="it-IT"/>
        </w:rPr>
        <w:t xml:space="preserve">Attraverso il medesimo campione di imprese manifatturiere, Unioncamere del Veneto fotografa annualmente, a partire dal 2017, </w:t>
      </w:r>
      <w:r w:rsidR="002C6092" w:rsidRPr="00DC7C2B">
        <w:rPr>
          <w:rFonts w:ascii="Calibri" w:eastAsia="Calibri" w:hAnsi="Calibri" w:cs="Calibri"/>
          <w:lang w:val="it-IT"/>
        </w:rPr>
        <w:t xml:space="preserve">lo stato di adozione delle tecnologie </w:t>
      </w:r>
      <w:r w:rsidR="002C6092">
        <w:rPr>
          <w:rFonts w:ascii="Calibri" w:eastAsia="Calibri" w:hAnsi="Calibri" w:cs="Calibri"/>
          <w:lang w:val="it-IT"/>
        </w:rPr>
        <w:t>“</w:t>
      </w:r>
      <w:r w:rsidR="002C6092" w:rsidRPr="00DC7C2B">
        <w:rPr>
          <w:rFonts w:ascii="Calibri" w:eastAsia="Calibri" w:hAnsi="Calibri" w:cs="Calibri"/>
          <w:lang w:val="it-IT"/>
        </w:rPr>
        <w:t>4.0</w:t>
      </w:r>
      <w:r>
        <w:rPr>
          <w:rFonts w:ascii="Calibri" w:eastAsia="Calibri" w:hAnsi="Calibri" w:cs="Calibri"/>
          <w:lang w:val="it-IT"/>
        </w:rPr>
        <w:t>-5.0</w:t>
      </w:r>
      <w:r w:rsidR="002C6092">
        <w:rPr>
          <w:rFonts w:ascii="Calibri" w:eastAsia="Calibri" w:hAnsi="Calibri" w:cs="Calibri"/>
          <w:lang w:val="it-IT"/>
        </w:rPr>
        <w:t>”</w:t>
      </w:r>
      <w:r w:rsidR="002C6092" w:rsidRPr="00DC7C2B">
        <w:rPr>
          <w:rFonts w:ascii="Calibri" w:eastAsia="Calibri" w:hAnsi="Calibri" w:cs="Calibri"/>
          <w:lang w:val="it-IT"/>
        </w:rPr>
        <w:t>.</w:t>
      </w:r>
      <w:r w:rsidR="002C6092">
        <w:rPr>
          <w:rFonts w:ascii="Calibri" w:eastAsia="Calibri" w:hAnsi="Calibri" w:cs="Calibri"/>
          <w:lang w:val="it-IT"/>
        </w:rPr>
        <w:t xml:space="preserve"> Questa </w:t>
      </w:r>
      <w:r w:rsidR="002C6092" w:rsidRPr="009212AC">
        <w:rPr>
          <w:rFonts w:ascii="Calibri" w:eastAsia="Calibri" w:hAnsi="Calibri" w:cs="Calibri"/>
          <w:i/>
          <w:iCs/>
          <w:lang w:val="it-IT"/>
        </w:rPr>
        <w:t>survey</w:t>
      </w:r>
      <w:r w:rsidR="002C6092">
        <w:rPr>
          <w:rFonts w:ascii="Calibri" w:eastAsia="Calibri" w:hAnsi="Calibri" w:cs="Calibri"/>
          <w:lang w:val="it-IT"/>
        </w:rPr>
        <w:t xml:space="preserve"> oggi è diventata parte di un più ampio progetto del sistema camerale veneto sul ruolo dei Punti d’Impresa Digitale per accompagnare le PMI Venete nella trasformazione digitale e sostenibile. Poggia sul supporto scientifico dell’Università degli Studi di Padova, dell’Università Ca’ Foscari di Venezia, dell’Università di Verona.</w:t>
      </w:r>
      <w:r>
        <w:rPr>
          <w:rFonts w:ascii="Calibri" w:eastAsia="Calibri" w:hAnsi="Calibri" w:cs="Calibri"/>
          <w:lang w:val="it-IT"/>
        </w:rPr>
        <w:t xml:space="preserve"> </w:t>
      </w:r>
      <w:r w:rsidR="002C6092" w:rsidRPr="00DC7C2B">
        <w:rPr>
          <w:rFonts w:ascii="Calibri" w:eastAsia="Calibri" w:hAnsi="Calibri" w:cs="Calibri"/>
          <w:lang w:val="it-IT"/>
        </w:rPr>
        <w:t>L’ultimo monitoraggio è del secondo trimestre 2025</w:t>
      </w:r>
      <w:r>
        <w:rPr>
          <w:rFonts w:ascii="Calibri" w:eastAsia="Calibri" w:hAnsi="Calibri" w:cs="Calibri"/>
          <w:lang w:val="it-IT"/>
        </w:rPr>
        <w:t>.</w:t>
      </w:r>
    </w:p>
    <w:p w14:paraId="2E00344D" w14:textId="77777777" w:rsidR="002C6092" w:rsidRDefault="002C6092" w:rsidP="002C6092">
      <w:pPr>
        <w:spacing w:before="240" w:after="120"/>
        <w:jc w:val="both"/>
        <w:rPr>
          <w:rFonts w:ascii="Calibri" w:eastAsia="Calibri" w:hAnsi="Calibri" w:cs="Calibri"/>
          <w:lang w:val="it-IT"/>
        </w:rPr>
      </w:pPr>
      <w:r>
        <w:rPr>
          <w:rFonts w:ascii="Calibri" w:eastAsia="Calibri" w:hAnsi="Calibri" w:cs="Calibri"/>
          <w:lang w:val="it-IT"/>
        </w:rPr>
        <w:t xml:space="preserve">Nel periodo considerato, la progressione degli investimenti è notevole: quando si è iniziato a fare la </w:t>
      </w:r>
      <w:r w:rsidRPr="005E6AAD">
        <w:rPr>
          <w:rFonts w:ascii="Calibri" w:eastAsia="Calibri" w:hAnsi="Calibri" w:cs="Calibri"/>
          <w:i/>
          <w:iCs/>
          <w:lang w:val="it-IT"/>
        </w:rPr>
        <w:t>survey</w:t>
      </w:r>
      <w:r>
        <w:rPr>
          <w:rFonts w:ascii="Calibri" w:eastAsia="Calibri" w:hAnsi="Calibri" w:cs="Calibri"/>
          <w:lang w:val="it-IT"/>
        </w:rPr>
        <w:t xml:space="preserve">, nel 2017, solo 1 azienda su 3 dichiarava di aver adottato almeno una tecnologia 4.0. Oggi le “adottanti” rappresentano il 54% delle imprese intervistate, </w:t>
      </w:r>
      <w:r w:rsidRPr="002206FF">
        <w:rPr>
          <w:rFonts w:ascii="Calibri" w:eastAsia="Calibri" w:hAnsi="Calibri" w:cs="Calibri"/>
          <w:lang w:val="it-IT"/>
        </w:rPr>
        <w:t>che diventano il 67,2% se esportatrici e</w:t>
      </w:r>
      <w:r>
        <w:rPr>
          <w:rFonts w:ascii="Calibri" w:eastAsia="Calibri" w:hAnsi="Calibri" w:cs="Calibri"/>
          <w:lang w:val="it-IT"/>
        </w:rPr>
        <w:t>d il</w:t>
      </w:r>
      <w:r w:rsidRPr="002206FF">
        <w:rPr>
          <w:rFonts w:ascii="Calibri" w:eastAsia="Calibri" w:hAnsi="Calibri" w:cs="Calibri"/>
          <w:lang w:val="it-IT"/>
        </w:rPr>
        <w:t xml:space="preserve"> 79,2% se con oltre 50 addetti.</w:t>
      </w:r>
    </w:p>
    <w:p w14:paraId="58E33707" w14:textId="77777777" w:rsidR="002C6092" w:rsidRPr="00B477FC" w:rsidRDefault="002C6092" w:rsidP="002C6092">
      <w:pPr>
        <w:spacing w:before="240" w:after="120"/>
        <w:jc w:val="both"/>
        <w:rPr>
          <w:rFonts w:ascii="Calibri" w:eastAsia="Calibri" w:hAnsi="Calibri" w:cs="Calibri"/>
          <w:strike/>
          <w:highlight w:val="yellow"/>
          <w:lang w:val="it-IT"/>
        </w:rPr>
      </w:pPr>
      <w:r>
        <w:rPr>
          <w:rFonts w:ascii="Calibri" w:eastAsia="Calibri" w:hAnsi="Calibri" w:cs="Calibri"/>
          <w:lang w:val="it-IT"/>
        </w:rPr>
        <w:t>Ancor più interessante l</w:t>
      </w:r>
      <w:r w:rsidRPr="00DC7C2B">
        <w:rPr>
          <w:rFonts w:ascii="Calibri" w:eastAsia="Calibri" w:hAnsi="Calibri" w:cs="Calibri"/>
          <w:lang w:val="it-IT"/>
        </w:rPr>
        <w:t xml:space="preserve">a progressione </w:t>
      </w:r>
      <w:r>
        <w:rPr>
          <w:rFonts w:ascii="Calibri" w:eastAsia="Calibri" w:hAnsi="Calibri" w:cs="Calibri"/>
          <w:lang w:val="it-IT"/>
        </w:rPr>
        <w:t xml:space="preserve">sul </w:t>
      </w:r>
      <w:r w:rsidRPr="00DC7C2B">
        <w:rPr>
          <w:rFonts w:ascii="Calibri" w:eastAsia="Calibri" w:hAnsi="Calibri" w:cs="Calibri"/>
          <w:lang w:val="it-IT"/>
        </w:rPr>
        <w:t xml:space="preserve">numero di tecnologie utilizzate. Fatto 100 il numero di “imprese </w:t>
      </w:r>
      <w:r>
        <w:rPr>
          <w:rFonts w:ascii="Calibri" w:eastAsia="Calibri" w:hAnsi="Calibri" w:cs="Calibri"/>
          <w:lang w:val="it-IT"/>
        </w:rPr>
        <w:t>adottanti</w:t>
      </w:r>
      <w:r w:rsidRPr="00DC7C2B">
        <w:rPr>
          <w:rFonts w:ascii="Calibri" w:eastAsia="Calibri" w:hAnsi="Calibri" w:cs="Calibri"/>
          <w:lang w:val="it-IT"/>
        </w:rPr>
        <w:t>”, nel</w:t>
      </w:r>
      <w:r>
        <w:rPr>
          <w:rFonts w:ascii="Calibri" w:eastAsia="Calibri" w:hAnsi="Calibri" w:cs="Calibri"/>
          <w:lang w:val="it-IT"/>
        </w:rPr>
        <w:t xml:space="preserve"> 2017 solo il 15% dichiarava di investire su 3 o più tecnologie (proxy di un approccio complesso e multidimensionale alla trasformazione </w:t>
      </w:r>
      <w:r>
        <w:rPr>
          <w:rFonts w:ascii="Calibri" w:eastAsia="Calibri" w:hAnsi="Calibri" w:cs="Calibri"/>
          <w:lang w:val="it-IT"/>
        </w:rPr>
        <w:lastRenderedPageBreak/>
        <w:t xml:space="preserve">digitale), mentre oggi le imprese “pluri-adottanti” rappresentano il 33% del campione. Quota che, anche in questo caso, </w:t>
      </w:r>
      <w:r w:rsidRPr="00340E9C">
        <w:rPr>
          <w:rFonts w:ascii="Calibri" w:eastAsia="Calibri" w:hAnsi="Calibri" w:cs="Calibri"/>
          <w:lang w:val="it-IT"/>
        </w:rPr>
        <w:t xml:space="preserve">sale al 40% se </w:t>
      </w:r>
      <w:r>
        <w:rPr>
          <w:rFonts w:ascii="Calibri" w:eastAsia="Calibri" w:hAnsi="Calibri" w:cs="Calibri"/>
          <w:lang w:val="it-IT"/>
        </w:rPr>
        <w:t xml:space="preserve">si considera il sottoinsieme delle imprese </w:t>
      </w:r>
      <w:r w:rsidRPr="00340E9C">
        <w:rPr>
          <w:rFonts w:ascii="Calibri" w:eastAsia="Calibri" w:hAnsi="Calibri" w:cs="Calibri"/>
          <w:lang w:val="it-IT"/>
        </w:rPr>
        <w:t>esportatrici</w:t>
      </w:r>
      <w:r>
        <w:rPr>
          <w:rFonts w:ascii="Calibri" w:eastAsia="Calibri" w:hAnsi="Calibri" w:cs="Calibri"/>
          <w:lang w:val="it-IT"/>
        </w:rPr>
        <w:t>.</w:t>
      </w:r>
    </w:p>
    <w:p w14:paraId="327A2D57" w14:textId="194930DD" w:rsidR="00DC7C2B" w:rsidRDefault="00E5764A" w:rsidP="00DC7C2B">
      <w:pPr>
        <w:spacing w:before="240" w:after="120"/>
        <w:jc w:val="both"/>
        <w:rPr>
          <w:rFonts w:ascii="Calibri" w:eastAsia="Calibri" w:hAnsi="Calibri" w:cs="Calibri"/>
          <w:lang w:val="it-IT"/>
        </w:rPr>
      </w:pPr>
      <w:r>
        <w:rPr>
          <w:rFonts w:ascii="Calibri" w:eastAsia="Calibri" w:hAnsi="Calibri" w:cs="Calibri"/>
          <w:lang w:val="it-IT"/>
        </w:rPr>
        <w:t xml:space="preserve">Su cosa investono principalmente le imprese? La survey distingue </w:t>
      </w:r>
      <w:r w:rsidR="00832519">
        <w:rPr>
          <w:rFonts w:ascii="Calibri" w:eastAsia="Calibri" w:hAnsi="Calibri" w:cs="Calibri"/>
          <w:lang w:val="it-IT"/>
        </w:rPr>
        <w:t>fra le tecnologie già</w:t>
      </w:r>
      <w:r>
        <w:rPr>
          <w:rFonts w:ascii="Calibri" w:eastAsia="Calibri" w:hAnsi="Calibri" w:cs="Calibri"/>
          <w:lang w:val="it-IT"/>
        </w:rPr>
        <w:t xml:space="preserve"> adottate e le previsioni di investimento nei </w:t>
      </w:r>
      <w:r w:rsidR="00DC7C2B" w:rsidRPr="00DC7C2B">
        <w:rPr>
          <w:rFonts w:ascii="Calibri" w:eastAsia="Calibri" w:hAnsi="Calibri" w:cs="Calibri"/>
          <w:lang w:val="it-IT"/>
        </w:rPr>
        <w:t>prossimi tre anni.</w:t>
      </w:r>
    </w:p>
    <w:p w14:paraId="74E09EAC" w14:textId="14AAF9EF" w:rsidR="005A77BA" w:rsidRDefault="00832519" w:rsidP="00DC7C2B">
      <w:pPr>
        <w:spacing w:before="240" w:after="120"/>
        <w:jc w:val="both"/>
        <w:rPr>
          <w:rFonts w:ascii="Calibri" w:eastAsia="Calibri" w:hAnsi="Calibri" w:cs="Calibri"/>
          <w:lang w:val="it-IT"/>
        </w:rPr>
      </w:pPr>
      <w:r>
        <w:rPr>
          <w:rFonts w:ascii="Calibri" w:eastAsia="Calibri" w:hAnsi="Calibri" w:cs="Calibri"/>
          <w:lang w:val="it-IT"/>
        </w:rPr>
        <w:t xml:space="preserve">Il quadro delle tecnologie già adottate </w:t>
      </w:r>
      <w:r w:rsidR="004D41EA">
        <w:rPr>
          <w:rFonts w:ascii="Calibri" w:eastAsia="Calibri" w:hAnsi="Calibri" w:cs="Calibri"/>
          <w:lang w:val="it-IT"/>
        </w:rPr>
        <w:t>evidenzia un’attenzione delle imprese ancora in prevalenza rivolta alle attività manifatturiere “</w:t>
      </w:r>
      <w:r w:rsidR="004D41EA" w:rsidRPr="004D41EA">
        <w:rPr>
          <w:rFonts w:ascii="Calibri" w:eastAsia="Calibri" w:hAnsi="Calibri" w:cs="Calibri"/>
          <w:i/>
          <w:iCs/>
          <w:lang w:val="it-IT"/>
        </w:rPr>
        <w:t>core</w:t>
      </w:r>
      <w:r w:rsidR="004D41EA">
        <w:rPr>
          <w:rFonts w:ascii="Calibri" w:eastAsia="Calibri" w:hAnsi="Calibri" w:cs="Calibri"/>
          <w:lang w:val="it-IT"/>
        </w:rPr>
        <w:t xml:space="preserve">”, al processo produttivo: il 26,3% delle imprese rispondenti ha </w:t>
      </w:r>
      <w:r w:rsidR="00C82E2A">
        <w:rPr>
          <w:rFonts w:ascii="Calibri" w:eastAsia="Calibri" w:hAnsi="Calibri" w:cs="Calibri"/>
          <w:lang w:val="it-IT"/>
        </w:rPr>
        <w:t xml:space="preserve">infatti </w:t>
      </w:r>
      <w:r w:rsidR="004D41EA">
        <w:rPr>
          <w:rFonts w:ascii="Calibri" w:eastAsia="Calibri" w:hAnsi="Calibri" w:cs="Calibri"/>
          <w:lang w:val="it-IT"/>
        </w:rPr>
        <w:t xml:space="preserve">puntato su </w:t>
      </w:r>
      <w:r w:rsidR="00DC7C2B" w:rsidRPr="00DC7C2B">
        <w:rPr>
          <w:rFonts w:ascii="Calibri" w:eastAsia="Calibri" w:hAnsi="Calibri" w:cs="Calibri"/>
          <w:i/>
          <w:iCs/>
          <w:lang w:val="it-IT"/>
        </w:rPr>
        <w:t>Robotica e automazione</w:t>
      </w:r>
      <w:r w:rsidR="00DC7C2B" w:rsidRPr="00DC7C2B">
        <w:rPr>
          <w:rFonts w:ascii="Calibri" w:eastAsia="Calibri" w:hAnsi="Calibri" w:cs="Calibri"/>
          <w:lang w:val="it-IT"/>
        </w:rPr>
        <w:t xml:space="preserve"> </w:t>
      </w:r>
      <w:r w:rsidR="004D41EA">
        <w:rPr>
          <w:rFonts w:ascii="Calibri" w:eastAsia="Calibri" w:hAnsi="Calibri" w:cs="Calibri"/>
          <w:lang w:val="it-IT"/>
        </w:rPr>
        <w:t xml:space="preserve">e lo farà ancora nei prossimi tre anni (22% dei rispondenti). Fanno da corollario gli investimenti </w:t>
      </w:r>
      <w:r w:rsidR="00C82E2A">
        <w:rPr>
          <w:rFonts w:ascii="Calibri" w:eastAsia="Calibri" w:hAnsi="Calibri" w:cs="Calibri"/>
          <w:lang w:val="it-IT"/>
        </w:rPr>
        <w:t xml:space="preserve">riconducibili alla protezione e gestione hardware del dato: </w:t>
      </w:r>
      <w:r w:rsidR="001B6D67">
        <w:rPr>
          <w:rFonts w:ascii="Calibri" w:eastAsia="Calibri" w:hAnsi="Calibri" w:cs="Calibri"/>
          <w:lang w:val="it-IT"/>
        </w:rPr>
        <w:t>servizi</w:t>
      </w:r>
      <w:r w:rsidR="00C82E2A">
        <w:rPr>
          <w:rFonts w:ascii="Calibri" w:eastAsia="Calibri" w:hAnsi="Calibri" w:cs="Calibri"/>
          <w:lang w:val="it-IT"/>
        </w:rPr>
        <w:t xml:space="preserve"> di </w:t>
      </w:r>
      <w:r w:rsidR="00DC7C2B" w:rsidRPr="00DC7C2B">
        <w:rPr>
          <w:rFonts w:ascii="Calibri" w:eastAsia="Calibri" w:hAnsi="Calibri" w:cs="Calibri"/>
          <w:i/>
          <w:iCs/>
          <w:lang w:val="it-IT"/>
        </w:rPr>
        <w:t>Cybersecurity</w:t>
      </w:r>
      <w:r w:rsidR="00DC7C2B" w:rsidRPr="00DC7C2B">
        <w:rPr>
          <w:rFonts w:ascii="Calibri" w:eastAsia="Calibri" w:hAnsi="Calibri" w:cs="Calibri"/>
          <w:lang w:val="it-IT"/>
        </w:rPr>
        <w:t xml:space="preserve"> (</w:t>
      </w:r>
      <w:r w:rsidR="00C82E2A">
        <w:rPr>
          <w:rFonts w:ascii="Calibri" w:eastAsia="Calibri" w:hAnsi="Calibri" w:cs="Calibri"/>
          <w:lang w:val="it-IT"/>
        </w:rPr>
        <w:t xml:space="preserve">adottati </w:t>
      </w:r>
      <w:r w:rsidR="00DC7C2B" w:rsidRPr="00DC7C2B">
        <w:rPr>
          <w:rFonts w:ascii="Calibri" w:eastAsia="Calibri" w:hAnsi="Calibri" w:cs="Calibri"/>
          <w:lang w:val="it-IT"/>
        </w:rPr>
        <w:t>dal 21,9% del campione</w:t>
      </w:r>
      <w:r w:rsidR="005A77BA">
        <w:rPr>
          <w:rFonts w:ascii="Calibri" w:eastAsia="Calibri" w:hAnsi="Calibri" w:cs="Calibri"/>
          <w:lang w:val="it-IT"/>
        </w:rPr>
        <w:t xml:space="preserve">) e </w:t>
      </w:r>
      <w:r w:rsidR="005A77BA" w:rsidRPr="005A77BA">
        <w:rPr>
          <w:rFonts w:ascii="Calibri" w:eastAsia="Calibri" w:hAnsi="Calibri" w:cs="Calibri"/>
          <w:i/>
          <w:iCs/>
          <w:lang w:val="it-IT"/>
        </w:rPr>
        <w:t>Servizi Cloud</w:t>
      </w:r>
      <w:r w:rsidR="005A77BA">
        <w:rPr>
          <w:rFonts w:ascii="Calibri" w:eastAsia="Calibri" w:hAnsi="Calibri" w:cs="Calibri"/>
          <w:lang w:val="it-IT"/>
        </w:rPr>
        <w:t xml:space="preserve"> (</w:t>
      </w:r>
      <w:r w:rsidR="00C82E2A">
        <w:rPr>
          <w:rFonts w:ascii="Calibri" w:eastAsia="Calibri" w:hAnsi="Calibri" w:cs="Calibri"/>
          <w:lang w:val="it-IT"/>
        </w:rPr>
        <w:t xml:space="preserve">adottati dal </w:t>
      </w:r>
      <w:r w:rsidR="005A77BA">
        <w:rPr>
          <w:rFonts w:ascii="Calibri" w:eastAsia="Calibri" w:hAnsi="Calibri" w:cs="Calibri"/>
          <w:lang w:val="it-IT"/>
        </w:rPr>
        <w:t>20% dei rispondenti), voci che mantengono un peso rilevante, anche se ridotto, nelle intenzioni di investimento per i prossimi tre anni.</w:t>
      </w:r>
    </w:p>
    <w:p w14:paraId="1378EC05" w14:textId="6497387D" w:rsidR="00DC7C2B" w:rsidRPr="00DC7C2B" w:rsidRDefault="005A77BA" w:rsidP="00DC7C2B">
      <w:pPr>
        <w:spacing w:before="240" w:after="120"/>
        <w:jc w:val="both"/>
        <w:rPr>
          <w:rFonts w:ascii="Calibri" w:eastAsia="Calibri" w:hAnsi="Calibri" w:cs="Calibri"/>
          <w:lang w:val="it-IT"/>
        </w:rPr>
      </w:pPr>
      <w:r>
        <w:rPr>
          <w:rFonts w:ascii="Calibri" w:eastAsia="Calibri" w:hAnsi="Calibri" w:cs="Calibri"/>
          <w:lang w:val="it-IT"/>
        </w:rPr>
        <w:t xml:space="preserve">Ma </w:t>
      </w:r>
      <w:r w:rsidR="00C82E2A">
        <w:rPr>
          <w:rFonts w:ascii="Calibri" w:eastAsia="Calibri" w:hAnsi="Calibri" w:cs="Calibri"/>
          <w:lang w:val="it-IT"/>
        </w:rPr>
        <w:t xml:space="preserve">per </w:t>
      </w:r>
      <w:r w:rsidR="001B6D67">
        <w:rPr>
          <w:rFonts w:ascii="Calibri" w:eastAsia="Calibri" w:hAnsi="Calibri" w:cs="Calibri"/>
          <w:lang w:val="it-IT"/>
        </w:rPr>
        <w:t xml:space="preserve">l’immediato futuro </w:t>
      </w:r>
      <w:r w:rsidR="00C82E2A">
        <w:rPr>
          <w:rFonts w:ascii="Calibri" w:eastAsia="Calibri" w:hAnsi="Calibri" w:cs="Calibri"/>
          <w:lang w:val="it-IT"/>
        </w:rPr>
        <w:t xml:space="preserve">sembra </w:t>
      </w:r>
      <w:r>
        <w:rPr>
          <w:rFonts w:ascii="Calibri" w:eastAsia="Calibri" w:hAnsi="Calibri" w:cs="Calibri"/>
          <w:lang w:val="it-IT"/>
        </w:rPr>
        <w:t>emerge</w:t>
      </w:r>
      <w:r w:rsidR="00C82E2A">
        <w:rPr>
          <w:rFonts w:ascii="Calibri" w:eastAsia="Calibri" w:hAnsi="Calibri" w:cs="Calibri"/>
          <w:lang w:val="it-IT"/>
        </w:rPr>
        <w:t>re</w:t>
      </w:r>
      <w:r>
        <w:rPr>
          <w:rFonts w:ascii="Calibri" w:eastAsia="Calibri" w:hAnsi="Calibri" w:cs="Calibri"/>
          <w:lang w:val="it-IT"/>
        </w:rPr>
        <w:t xml:space="preserve"> un cambio di prospettiva davvero significativo. </w:t>
      </w:r>
      <w:r w:rsidR="00C82E2A">
        <w:rPr>
          <w:rFonts w:ascii="Calibri" w:eastAsia="Calibri" w:hAnsi="Calibri" w:cs="Calibri"/>
          <w:lang w:val="it-IT"/>
        </w:rPr>
        <w:t>Gli investimenti sull’</w:t>
      </w:r>
      <w:r w:rsidR="00DC7C2B" w:rsidRPr="00DC7C2B">
        <w:rPr>
          <w:rFonts w:ascii="Calibri" w:eastAsia="Calibri" w:hAnsi="Calibri" w:cs="Calibri"/>
          <w:i/>
          <w:iCs/>
          <w:lang w:val="it-IT"/>
        </w:rPr>
        <w:t>Intelligenza Artificiale</w:t>
      </w:r>
      <w:r w:rsidR="00C82E2A">
        <w:rPr>
          <w:rFonts w:ascii="Calibri" w:eastAsia="Calibri" w:hAnsi="Calibri" w:cs="Calibri"/>
          <w:lang w:val="it-IT"/>
        </w:rPr>
        <w:t xml:space="preserve">, che fino ad oggi hanno coinvolto appena il 4,9% delle imprese, </w:t>
      </w:r>
      <w:r w:rsidR="001B6D67">
        <w:rPr>
          <w:rFonts w:ascii="Calibri" w:eastAsia="Calibri" w:hAnsi="Calibri" w:cs="Calibri"/>
          <w:lang w:val="it-IT"/>
        </w:rPr>
        <w:t>arriveranno a coinvolgerne il 38,2%, diventando la priorità per i prossimi tre anni</w:t>
      </w:r>
      <w:r w:rsidR="00DC7C2B" w:rsidRPr="00DC7C2B">
        <w:rPr>
          <w:rFonts w:ascii="Calibri" w:eastAsia="Calibri" w:hAnsi="Calibri" w:cs="Calibri"/>
          <w:lang w:val="it-IT"/>
        </w:rPr>
        <w:t xml:space="preserve">. </w:t>
      </w:r>
      <w:r w:rsidR="008D0C66">
        <w:rPr>
          <w:rFonts w:ascii="Calibri" w:eastAsia="Calibri" w:hAnsi="Calibri" w:cs="Calibri"/>
          <w:lang w:val="it-IT"/>
        </w:rPr>
        <w:t xml:space="preserve">Sale anche la propensione </w:t>
      </w:r>
      <w:r w:rsidR="00C82E2A">
        <w:rPr>
          <w:rFonts w:ascii="Calibri" w:eastAsia="Calibri" w:hAnsi="Calibri" w:cs="Calibri"/>
          <w:lang w:val="it-IT"/>
        </w:rPr>
        <w:t xml:space="preserve">agli </w:t>
      </w:r>
      <w:r w:rsidR="008D0C66">
        <w:rPr>
          <w:rFonts w:ascii="Calibri" w:eastAsia="Calibri" w:hAnsi="Calibri" w:cs="Calibri"/>
          <w:lang w:val="it-IT"/>
        </w:rPr>
        <w:t>investimenti che p</w:t>
      </w:r>
      <w:r w:rsidR="00DC7C2B" w:rsidRPr="00DC7C2B">
        <w:rPr>
          <w:rFonts w:ascii="Calibri" w:eastAsia="Calibri" w:hAnsi="Calibri" w:cs="Calibri"/>
          <w:lang w:val="it-IT"/>
        </w:rPr>
        <w:t>untano</w:t>
      </w:r>
      <w:r w:rsidR="008D0C66">
        <w:rPr>
          <w:rFonts w:ascii="Calibri" w:eastAsia="Calibri" w:hAnsi="Calibri" w:cs="Calibri"/>
          <w:lang w:val="it-IT"/>
        </w:rPr>
        <w:t xml:space="preserve"> all</w:t>
      </w:r>
      <w:r w:rsidR="008D0C66" w:rsidRPr="00DC7C2B">
        <w:rPr>
          <w:rFonts w:ascii="Calibri" w:eastAsia="Calibri" w:hAnsi="Calibri" w:cs="Calibri"/>
          <w:lang w:val="it-IT"/>
        </w:rPr>
        <w:t>’</w:t>
      </w:r>
      <w:r w:rsidR="008D0C66" w:rsidRPr="00DC7C2B">
        <w:rPr>
          <w:rFonts w:ascii="Calibri" w:eastAsia="Calibri" w:hAnsi="Calibri" w:cs="Calibri"/>
          <w:i/>
          <w:iCs/>
          <w:lang w:val="it-IT"/>
        </w:rPr>
        <w:t>Analisi dei Big Data</w:t>
      </w:r>
      <w:r w:rsidR="008D0C66" w:rsidRPr="00DC7C2B">
        <w:rPr>
          <w:rFonts w:ascii="Calibri" w:eastAsia="Calibri" w:hAnsi="Calibri" w:cs="Calibri"/>
          <w:lang w:val="it-IT"/>
        </w:rPr>
        <w:t xml:space="preserve"> (</w:t>
      </w:r>
      <w:r w:rsidR="008D0C66">
        <w:rPr>
          <w:rFonts w:ascii="Calibri" w:eastAsia="Calibri" w:hAnsi="Calibri" w:cs="Calibri"/>
          <w:lang w:val="it-IT"/>
        </w:rPr>
        <w:t xml:space="preserve">dal </w:t>
      </w:r>
      <w:r w:rsidR="008D0C66" w:rsidRPr="00DC7C2B">
        <w:rPr>
          <w:rFonts w:ascii="Calibri" w:eastAsia="Calibri" w:hAnsi="Calibri" w:cs="Calibri"/>
          <w:lang w:val="it-IT"/>
        </w:rPr>
        <w:t>5,1%</w:t>
      </w:r>
      <w:r w:rsidR="008D0C66">
        <w:rPr>
          <w:rFonts w:ascii="Calibri" w:eastAsia="Calibri" w:hAnsi="Calibri" w:cs="Calibri"/>
          <w:lang w:val="it-IT"/>
        </w:rPr>
        <w:t xml:space="preserve"> </w:t>
      </w:r>
      <w:r w:rsidR="0028025F">
        <w:rPr>
          <w:rFonts w:ascii="Calibri" w:eastAsia="Calibri" w:hAnsi="Calibri" w:cs="Calibri"/>
          <w:lang w:val="it-IT"/>
        </w:rPr>
        <w:t xml:space="preserve">al </w:t>
      </w:r>
      <w:r w:rsidR="008D0C66" w:rsidRPr="00DC7C2B">
        <w:rPr>
          <w:rFonts w:ascii="Calibri" w:eastAsia="Calibri" w:hAnsi="Calibri" w:cs="Calibri"/>
          <w:lang w:val="it-IT"/>
        </w:rPr>
        <w:t>13,8%)</w:t>
      </w:r>
      <w:r w:rsidR="0028025F">
        <w:rPr>
          <w:rFonts w:ascii="Calibri" w:eastAsia="Calibri" w:hAnsi="Calibri" w:cs="Calibri"/>
          <w:lang w:val="it-IT"/>
        </w:rPr>
        <w:t xml:space="preserve"> e </w:t>
      </w:r>
      <w:r w:rsidR="00DC7C2B" w:rsidRPr="00DC7C2B">
        <w:rPr>
          <w:rFonts w:ascii="Calibri" w:eastAsia="Calibri" w:hAnsi="Calibri" w:cs="Calibri"/>
          <w:lang w:val="it-IT"/>
        </w:rPr>
        <w:t>all’</w:t>
      </w:r>
      <w:r w:rsidR="00DC7C2B" w:rsidRPr="00DC7C2B">
        <w:rPr>
          <w:rFonts w:ascii="Calibri" w:eastAsia="Calibri" w:hAnsi="Calibri" w:cs="Calibri"/>
          <w:i/>
          <w:iCs/>
          <w:lang w:val="it-IT"/>
        </w:rPr>
        <w:t>Integrazione dei dati</w:t>
      </w:r>
      <w:r w:rsidR="00DC7C2B" w:rsidRPr="00DC7C2B">
        <w:rPr>
          <w:rFonts w:ascii="Calibri" w:eastAsia="Calibri" w:hAnsi="Calibri" w:cs="Calibri"/>
          <w:lang w:val="it-IT"/>
        </w:rPr>
        <w:t xml:space="preserve"> (</w:t>
      </w:r>
      <w:r w:rsidR="0028025F">
        <w:rPr>
          <w:rFonts w:ascii="Calibri" w:eastAsia="Calibri" w:hAnsi="Calibri" w:cs="Calibri"/>
          <w:lang w:val="it-IT"/>
        </w:rPr>
        <w:t>da</w:t>
      </w:r>
      <w:r w:rsidR="00DC7C2B" w:rsidRPr="00DC7C2B">
        <w:rPr>
          <w:rFonts w:ascii="Calibri" w:eastAsia="Calibri" w:hAnsi="Calibri" w:cs="Calibri"/>
          <w:lang w:val="it-IT"/>
        </w:rPr>
        <w:t>l 12,8% al 16,8%)</w:t>
      </w:r>
      <w:r w:rsidR="00C82E2A">
        <w:rPr>
          <w:rFonts w:ascii="Calibri" w:eastAsia="Calibri" w:hAnsi="Calibri" w:cs="Calibri"/>
          <w:lang w:val="it-IT"/>
        </w:rPr>
        <w:t xml:space="preserve">. </w:t>
      </w:r>
    </w:p>
    <w:p w14:paraId="5D704CEB" w14:textId="13CE3A43" w:rsidR="001B6D67" w:rsidRDefault="008D0C66" w:rsidP="0028025F">
      <w:pPr>
        <w:spacing w:before="240" w:after="120"/>
        <w:jc w:val="both"/>
        <w:rPr>
          <w:rFonts w:ascii="Calibri" w:eastAsia="Calibri" w:hAnsi="Calibri" w:cs="Calibri"/>
          <w:lang w:val="it-IT"/>
        </w:rPr>
      </w:pPr>
      <w:r w:rsidRPr="00DC7C2B">
        <w:rPr>
          <w:rFonts w:ascii="Calibri" w:eastAsia="Calibri" w:hAnsi="Calibri" w:cs="Calibri"/>
          <w:lang w:val="it-IT"/>
        </w:rPr>
        <w:t xml:space="preserve">Le imprese </w:t>
      </w:r>
      <w:r w:rsidR="001B6D67">
        <w:rPr>
          <w:rFonts w:ascii="Calibri" w:eastAsia="Calibri" w:hAnsi="Calibri" w:cs="Calibri"/>
          <w:lang w:val="it-IT"/>
        </w:rPr>
        <w:t xml:space="preserve">manifatturiere </w:t>
      </w:r>
      <w:r w:rsidRPr="00DC7C2B">
        <w:rPr>
          <w:rFonts w:ascii="Calibri" w:eastAsia="Calibri" w:hAnsi="Calibri" w:cs="Calibri"/>
          <w:lang w:val="it-IT"/>
        </w:rPr>
        <w:t>venete</w:t>
      </w:r>
      <w:r w:rsidR="001B6D67">
        <w:rPr>
          <w:rFonts w:ascii="Calibri" w:eastAsia="Calibri" w:hAnsi="Calibri" w:cs="Calibri"/>
          <w:lang w:val="it-IT"/>
        </w:rPr>
        <w:t>, almeno in queste intenzioni dichiarate,</w:t>
      </w:r>
      <w:r>
        <w:rPr>
          <w:rFonts w:ascii="Calibri" w:eastAsia="Calibri" w:hAnsi="Calibri" w:cs="Calibri"/>
          <w:lang w:val="it-IT"/>
        </w:rPr>
        <w:t xml:space="preserve"> sembrano aver</w:t>
      </w:r>
      <w:r w:rsidRPr="00DC7C2B">
        <w:rPr>
          <w:rFonts w:ascii="Calibri" w:eastAsia="Calibri" w:hAnsi="Calibri" w:cs="Calibri"/>
          <w:lang w:val="it-IT"/>
        </w:rPr>
        <w:t xml:space="preserve"> capito che l'efficienza </w:t>
      </w:r>
      <w:r w:rsidR="001B6D67">
        <w:rPr>
          <w:rFonts w:ascii="Calibri" w:eastAsia="Calibri" w:hAnsi="Calibri" w:cs="Calibri"/>
          <w:lang w:val="it-IT"/>
        </w:rPr>
        <w:t xml:space="preserve">di processo </w:t>
      </w:r>
      <w:r w:rsidRPr="00DC7C2B">
        <w:rPr>
          <w:rFonts w:ascii="Calibri" w:eastAsia="Calibri" w:hAnsi="Calibri" w:cs="Calibri"/>
          <w:lang w:val="it-IT"/>
        </w:rPr>
        <w:t xml:space="preserve">passa anche </w:t>
      </w:r>
      <w:r w:rsidR="001B6D67">
        <w:rPr>
          <w:rFonts w:ascii="Calibri" w:eastAsia="Calibri" w:hAnsi="Calibri" w:cs="Calibri"/>
          <w:lang w:val="it-IT"/>
        </w:rPr>
        <w:t xml:space="preserve">per un ripensamento dei modelli di business, per una capacità </w:t>
      </w:r>
      <w:r w:rsidRPr="00DC7C2B">
        <w:rPr>
          <w:rFonts w:ascii="Calibri" w:eastAsia="Calibri" w:hAnsi="Calibri" w:cs="Calibri"/>
          <w:lang w:val="it-IT"/>
        </w:rPr>
        <w:t>di processare velocemente le informazioni</w:t>
      </w:r>
      <w:r>
        <w:rPr>
          <w:rFonts w:ascii="Calibri" w:eastAsia="Calibri" w:hAnsi="Calibri" w:cs="Calibri"/>
          <w:lang w:val="it-IT"/>
        </w:rPr>
        <w:t xml:space="preserve">, </w:t>
      </w:r>
      <w:r w:rsidR="001B6D67">
        <w:rPr>
          <w:rFonts w:ascii="Calibri" w:eastAsia="Calibri" w:hAnsi="Calibri" w:cs="Calibri"/>
          <w:lang w:val="it-IT"/>
        </w:rPr>
        <w:t>dentro nuove logiche decisionali</w:t>
      </w:r>
      <w:r w:rsidR="00E15139">
        <w:rPr>
          <w:rFonts w:ascii="Calibri" w:eastAsia="Calibri" w:hAnsi="Calibri" w:cs="Calibri"/>
          <w:lang w:val="it-IT"/>
        </w:rPr>
        <w:t xml:space="preserve"> di cui si diceva sopra,</w:t>
      </w:r>
      <w:r w:rsidR="001B6D67">
        <w:rPr>
          <w:rFonts w:ascii="Calibri" w:eastAsia="Calibri" w:hAnsi="Calibri" w:cs="Calibri"/>
          <w:lang w:val="it-IT"/>
        </w:rPr>
        <w:t xml:space="preserve"> più consone all’imprevedibilità degli scenari</w:t>
      </w:r>
      <w:r w:rsidRPr="00DC7C2B">
        <w:rPr>
          <w:rFonts w:ascii="Calibri" w:eastAsia="Calibri" w:hAnsi="Calibri" w:cs="Calibri"/>
          <w:lang w:val="it-IT"/>
        </w:rPr>
        <w:t>.</w:t>
      </w:r>
    </w:p>
    <w:p w14:paraId="364EDA07" w14:textId="19AC8239" w:rsidR="00E15139" w:rsidRDefault="001B6D67" w:rsidP="0028025F">
      <w:pPr>
        <w:spacing w:before="240" w:after="120"/>
        <w:jc w:val="both"/>
        <w:rPr>
          <w:rFonts w:ascii="Calibri" w:eastAsia="Calibri" w:hAnsi="Calibri" w:cs="Calibri"/>
          <w:lang w:val="it-IT"/>
        </w:rPr>
      </w:pPr>
      <w:r>
        <w:rPr>
          <w:rFonts w:ascii="Calibri" w:eastAsia="Calibri" w:hAnsi="Calibri" w:cs="Calibri"/>
          <w:lang w:val="it-IT"/>
        </w:rPr>
        <w:t>Ci sono ambiti tecnologici che restano ancora di nicchia, come</w:t>
      </w:r>
      <w:r w:rsidR="00E15139">
        <w:rPr>
          <w:rFonts w:ascii="Calibri" w:eastAsia="Calibri" w:hAnsi="Calibri" w:cs="Calibri"/>
          <w:lang w:val="it-IT"/>
        </w:rPr>
        <w:t xml:space="preserve"> il </w:t>
      </w:r>
      <w:r>
        <w:rPr>
          <w:rFonts w:ascii="Calibri" w:eastAsia="Calibri" w:hAnsi="Calibri" w:cs="Calibri"/>
          <w:lang w:val="it-IT"/>
        </w:rPr>
        <w:t>“Gemello Digitale” (</w:t>
      </w:r>
      <w:r w:rsidRPr="00E15139">
        <w:rPr>
          <w:rFonts w:ascii="Calibri" w:eastAsia="Calibri" w:hAnsi="Calibri" w:cs="Calibri"/>
          <w:i/>
          <w:iCs/>
          <w:lang w:val="it-IT"/>
        </w:rPr>
        <w:t>Digital Twin</w:t>
      </w:r>
      <w:r>
        <w:rPr>
          <w:rFonts w:ascii="Calibri" w:eastAsia="Calibri" w:hAnsi="Calibri" w:cs="Calibri"/>
          <w:lang w:val="it-IT"/>
        </w:rPr>
        <w:t xml:space="preserve">) e la </w:t>
      </w:r>
      <w:r w:rsidRPr="00E15139">
        <w:rPr>
          <w:rFonts w:ascii="Calibri" w:eastAsia="Calibri" w:hAnsi="Calibri" w:cs="Calibri"/>
          <w:i/>
          <w:iCs/>
          <w:lang w:val="it-IT"/>
        </w:rPr>
        <w:t>Blockchain</w:t>
      </w:r>
      <w:r w:rsidR="00E15139">
        <w:rPr>
          <w:rFonts w:ascii="Calibri" w:eastAsia="Calibri" w:hAnsi="Calibri" w:cs="Calibri"/>
          <w:lang w:val="it-IT"/>
        </w:rPr>
        <w:t xml:space="preserve">: con riferimento a quest’ultima, va detto </w:t>
      </w:r>
      <w:r>
        <w:rPr>
          <w:rFonts w:ascii="Calibri" w:eastAsia="Calibri" w:hAnsi="Calibri" w:cs="Calibri"/>
          <w:lang w:val="it-IT"/>
        </w:rPr>
        <w:t>però</w:t>
      </w:r>
      <w:r w:rsidR="00E15139">
        <w:rPr>
          <w:rFonts w:ascii="Calibri" w:eastAsia="Calibri" w:hAnsi="Calibri" w:cs="Calibri"/>
          <w:lang w:val="it-IT"/>
        </w:rPr>
        <w:t xml:space="preserve"> che le imprese hanno comunque investito e continueranno a farlo in sistemi di “</w:t>
      </w:r>
      <w:r w:rsidR="00E15139" w:rsidRPr="00E15139">
        <w:rPr>
          <w:rFonts w:ascii="Calibri" w:eastAsia="Calibri" w:hAnsi="Calibri" w:cs="Calibri"/>
          <w:i/>
          <w:iCs/>
          <w:lang w:val="it-IT"/>
        </w:rPr>
        <w:t>Tracking and tracing</w:t>
      </w:r>
      <w:r w:rsidR="00E15139">
        <w:rPr>
          <w:rFonts w:ascii="Calibri" w:eastAsia="Calibri" w:hAnsi="Calibri" w:cs="Calibri"/>
          <w:lang w:val="it-IT"/>
        </w:rPr>
        <w:t xml:space="preserve">” a supporto della logistica di filiera: quindi semmai è da capire se </w:t>
      </w:r>
      <w:r w:rsidR="00885750">
        <w:rPr>
          <w:rFonts w:ascii="Calibri" w:eastAsia="Calibri" w:hAnsi="Calibri" w:cs="Calibri"/>
          <w:lang w:val="it-IT"/>
        </w:rPr>
        <w:t xml:space="preserve">per la Blockchain </w:t>
      </w:r>
      <w:r w:rsidR="00E15139">
        <w:rPr>
          <w:rFonts w:ascii="Calibri" w:eastAsia="Calibri" w:hAnsi="Calibri" w:cs="Calibri"/>
          <w:lang w:val="it-IT"/>
        </w:rPr>
        <w:t xml:space="preserve">non </w:t>
      </w:r>
      <w:r w:rsidR="00885750">
        <w:rPr>
          <w:rFonts w:ascii="Calibri" w:eastAsia="Calibri" w:hAnsi="Calibri" w:cs="Calibri"/>
          <w:lang w:val="it-IT"/>
        </w:rPr>
        <w:t>sussistano specifiche barriere</w:t>
      </w:r>
      <w:r w:rsidR="0076004C">
        <w:rPr>
          <w:rFonts w:ascii="Calibri" w:eastAsia="Calibri" w:hAnsi="Calibri" w:cs="Calibri"/>
          <w:lang w:val="it-IT"/>
        </w:rPr>
        <w:t xml:space="preserve"> che inducono le imprese a preferire sistemi di tracciamento più tradizionali</w:t>
      </w:r>
      <w:r w:rsidR="00E15139">
        <w:rPr>
          <w:rFonts w:ascii="Calibri" w:eastAsia="Calibri" w:hAnsi="Calibri" w:cs="Calibri"/>
          <w:lang w:val="it-IT"/>
        </w:rPr>
        <w:t>.</w:t>
      </w:r>
    </w:p>
    <w:p w14:paraId="63E656AD" w14:textId="2E1E4AB1" w:rsidR="00346DED" w:rsidRDefault="00E15139" w:rsidP="00E15139">
      <w:pPr>
        <w:spacing w:before="240" w:after="120"/>
        <w:jc w:val="both"/>
        <w:rPr>
          <w:rFonts w:ascii="Calibri" w:eastAsia="Calibri" w:hAnsi="Calibri" w:cs="Calibri"/>
          <w:lang w:val="it-IT"/>
        </w:rPr>
      </w:pPr>
      <w:r>
        <w:rPr>
          <w:rFonts w:ascii="Calibri" w:eastAsia="Calibri" w:hAnsi="Calibri" w:cs="Calibri"/>
          <w:lang w:val="it-IT"/>
        </w:rPr>
        <w:t xml:space="preserve">In tema di barriere è interessante evidenziare il seguente aspetto: nelle imprese in </w:t>
      </w:r>
      <w:r w:rsidRPr="00E15139">
        <w:rPr>
          <w:rFonts w:ascii="Calibri" w:eastAsia="Calibri" w:hAnsi="Calibri" w:cs="Calibri"/>
          <w:lang w:val="it-IT"/>
        </w:rPr>
        <w:t xml:space="preserve">cui l’adozione delle tecnologie 4.0 è più ampia, </w:t>
      </w:r>
      <w:r>
        <w:rPr>
          <w:rFonts w:ascii="Calibri" w:eastAsia="Calibri" w:hAnsi="Calibri" w:cs="Calibri"/>
          <w:lang w:val="it-IT"/>
        </w:rPr>
        <w:t>c’è più consapevolezza di quali siano le</w:t>
      </w:r>
      <w:r w:rsidRPr="00E15139">
        <w:rPr>
          <w:rFonts w:ascii="Calibri" w:eastAsia="Calibri" w:hAnsi="Calibri" w:cs="Calibri"/>
          <w:lang w:val="it-IT"/>
        </w:rPr>
        <w:t xml:space="preserve"> barriere “tecnologiche”, “di competenze” o “istituzionali”,</w:t>
      </w:r>
      <w:r>
        <w:rPr>
          <w:rFonts w:ascii="Calibri" w:eastAsia="Calibri" w:hAnsi="Calibri" w:cs="Calibri"/>
          <w:lang w:val="it-IT"/>
        </w:rPr>
        <w:t xml:space="preserve"> cui far fronte. A</w:t>
      </w:r>
      <w:r w:rsidRPr="00E15139">
        <w:rPr>
          <w:rFonts w:ascii="Calibri" w:eastAsia="Calibri" w:hAnsi="Calibri" w:cs="Calibri"/>
          <w:lang w:val="it-IT"/>
        </w:rPr>
        <w:t>l contrario</w:t>
      </w:r>
      <w:r>
        <w:rPr>
          <w:rFonts w:ascii="Calibri" w:eastAsia="Calibri" w:hAnsi="Calibri" w:cs="Calibri"/>
          <w:lang w:val="it-IT"/>
        </w:rPr>
        <w:t>, nelle imprese con tassi</w:t>
      </w:r>
      <w:r w:rsidR="00346DED">
        <w:rPr>
          <w:rFonts w:ascii="Calibri" w:eastAsia="Calibri" w:hAnsi="Calibri" w:cs="Calibri"/>
          <w:lang w:val="it-IT"/>
        </w:rPr>
        <w:t xml:space="preserve"> di adozione delle tecnologie più bassi, prevalgono ancora barriere di tipo “economico” e “psicologico”, che spesso impediscono di comprendere il pieno potenziale e i benefici dell’investimento. Un target su cui sarà molto importante lavorare</w:t>
      </w:r>
      <w:r w:rsidR="0076004C">
        <w:rPr>
          <w:rFonts w:ascii="Calibri" w:eastAsia="Calibri" w:hAnsi="Calibri" w:cs="Calibri"/>
          <w:lang w:val="it-IT"/>
        </w:rPr>
        <w:t>, proprio nell’ambito del progetto PID</w:t>
      </w:r>
      <w:r w:rsidR="00346DED">
        <w:rPr>
          <w:rFonts w:ascii="Calibri" w:eastAsia="Calibri" w:hAnsi="Calibri" w:cs="Calibri"/>
          <w:lang w:val="it-IT"/>
        </w:rPr>
        <w:t>.</w:t>
      </w:r>
    </w:p>
    <w:p w14:paraId="16886DDB" w14:textId="4A98DEDD" w:rsidR="00E15139" w:rsidRDefault="00346DED" w:rsidP="00E15139">
      <w:pPr>
        <w:spacing w:before="240" w:after="120"/>
        <w:jc w:val="both"/>
        <w:rPr>
          <w:rFonts w:ascii="Calibri" w:eastAsia="Calibri" w:hAnsi="Calibri" w:cs="Calibri"/>
          <w:lang w:val="it-IT"/>
        </w:rPr>
      </w:pPr>
      <w:r>
        <w:rPr>
          <w:rFonts w:ascii="Calibri" w:eastAsia="Calibri" w:hAnsi="Calibri" w:cs="Calibri"/>
          <w:lang w:val="it-IT"/>
        </w:rPr>
        <w:lastRenderedPageBreak/>
        <w:t xml:space="preserve">Investimenti in tecnologie accompagnati da piena consapevolezza dei benefici e delle loro implicazioni, anche sul piano organizzativo, generano “circoli virtuosi”. Lo dimostra un ultimo dato: le </w:t>
      </w:r>
      <w:r w:rsidRPr="00346DED">
        <w:rPr>
          <w:rFonts w:ascii="Calibri" w:eastAsia="Calibri" w:hAnsi="Calibri" w:cs="Calibri"/>
          <w:lang w:val="it-IT"/>
        </w:rPr>
        <w:t xml:space="preserve">imprese che investono in sostenibilità ambientale </w:t>
      </w:r>
      <w:r>
        <w:rPr>
          <w:rFonts w:ascii="Calibri" w:eastAsia="Calibri" w:hAnsi="Calibri" w:cs="Calibri"/>
          <w:lang w:val="it-IT"/>
        </w:rPr>
        <w:t xml:space="preserve">sono anche quelle che presentano </w:t>
      </w:r>
      <w:r w:rsidRPr="00346DED">
        <w:rPr>
          <w:rFonts w:ascii="Calibri" w:eastAsia="Calibri" w:hAnsi="Calibri" w:cs="Calibri"/>
          <w:lang w:val="it-IT"/>
        </w:rPr>
        <w:t xml:space="preserve">tassi di investimento più alti sul fronte delle tecnologie industria 4.0. </w:t>
      </w:r>
      <w:r>
        <w:rPr>
          <w:rFonts w:ascii="Calibri" w:eastAsia="Calibri" w:hAnsi="Calibri" w:cs="Calibri"/>
          <w:lang w:val="it-IT"/>
        </w:rPr>
        <w:t>E si riscontra persino u</w:t>
      </w:r>
      <w:r w:rsidRPr="00346DED">
        <w:rPr>
          <w:rFonts w:ascii="Calibri" w:eastAsia="Calibri" w:hAnsi="Calibri" w:cs="Calibri"/>
          <w:lang w:val="it-IT"/>
        </w:rPr>
        <w:t xml:space="preserve">n </w:t>
      </w:r>
      <w:r>
        <w:rPr>
          <w:rFonts w:ascii="Calibri" w:eastAsia="Calibri" w:hAnsi="Calibri" w:cs="Calibri"/>
          <w:lang w:val="it-IT"/>
        </w:rPr>
        <w:t>sotto</w:t>
      </w:r>
      <w:r w:rsidRPr="00346DED">
        <w:rPr>
          <w:rFonts w:ascii="Calibri" w:eastAsia="Calibri" w:hAnsi="Calibri" w:cs="Calibri"/>
          <w:lang w:val="it-IT"/>
        </w:rPr>
        <w:t xml:space="preserve">gruppo di imprese </w:t>
      </w:r>
      <w:r w:rsidR="00885750">
        <w:rPr>
          <w:rFonts w:ascii="Calibri" w:eastAsia="Calibri" w:hAnsi="Calibri" w:cs="Calibri"/>
          <w:lang w:val="it-IT"/>
        </w:rPr>
        <w:t>ancora più virtuose</w:t>
      </w:r>
      <w:r>
        <w:rPr>
          <w:rFonts w:ascii="Calibri" w:eastAsia="Calibri" w:hAnsi="Calibri" w:cs="Calibri"/>
          <w:lang w:val="it-IT"/>
        </w:rPr>
        <w:t xml:space="preserve"> che gestisce in modo integrato</w:t>
      </w:r>
      <w:r w:rsidR="00885750">
        <w:rPr>
          <w:rFonts w:ascii="Calibri" w:eastAsia="Calibri" w:hAnsi="Calibri" w:cs="Calibri"/>
          <w:lang w:val="it-IT"/>
        </w:rPr>
        <w:t>, proprio in chiave “</w:t>
      </w:r>
      <w:r w:rsidR="00885750" w:rsidRPr="0076004C">
        <w:rPr>
          <w:rFonts w:ascii="Calibri" w:eastAsia="Calibri" w:hAnsi="Calibri" w:cs="Calibri"/>
          <w:i/>
          <w:iCs/>
          <w:lang w:val="it-IT"/>
        </w:rPr>
        <w:t>twin transition</w:t>
      </w:r>
      <w:r w:rsidR="00885750">
        <w:rPr>
          <w:rFonts w:ascii="Calibri" w:eastAsia="Calibri" w:hAnsi="Calibri" w:cs="Calibri"/>
          <w:lang w:val="it-IT"/>
        </w:rPr>
        <w:t>”, gli investimenti in digitale</w:t>
      </w:r>
      <w:r w:rsidR="0076004C">
        <w:rPr>
          <w:rFonts w:ascii="Calibri" w:eastAsia="Calibri" w:hAnsi="Calibri" w:cs="Calibri"/>
          <w:lang w:val="it-IT"/>
        </w:rPr>
        <w:t>, sia</w:t>
      </w:r>
      <w:r w:rsidR="00885750">
        <w:rPr>
          <w:rFonts w:ascii="Calibri" w:eastAsia="Calibri" w:hAnsi="Calibri" w:cs="Calibri"/>
          <w:lang w:val="it-IT"/>
        </w:rPr>
        <w:t xml:space="preserve"> al servizio del business </w:t>
      </w:r>
      <w:r w:rsidR="0076004C">
        <w:rPr>
          <w:rFonts w:ascii="Calibri" w:eastAsia="Calibri" w:hAnsi="Calibri" w:cs="Calibri"/>
          <w:lang w:val="it-IT"/>
        </w:rPr>
        <w:t xml:space="preserve">che </w:t>
      </w:r>
      <w:r w:rsidR="00885750">
        <w:rPr>
          <w:rFonts w:ascii="Calibri" w:eastAsia="Calibri" w:hAnsi="Calibri" w:cs="Calibri"/>
          <w:lang w:val="it-IT"/>
        </w:rPr>
        <w:t>della sostenibilità.</w:t>
      </w:r>
    </w:p>
    <w:p w14:paraId="0D4004E9" w14:textId="77777777" w:rsidR="00885750" w:rsidRDefault="00885750" w:rsidP="00E15139">
      <w:pPr>
        <w:spacing w:before="240" w:after="120"/>
        <w:jc w:val="both"/>
        <w:rPr>
          <w:rFonts w:ascii="Calibri" w:eastAsia="Calibri" w:hAnsi="Calibri" w:cs="Calibri"/>
          <w:lang w:val="it-IT"/>
        </w:rPr>
      </w:pPr>
    </w:p>
    <w:p w14:paraId="50D55081" w14:textId="77777777" w:rsidR="008973A3" w:rsidRPr="00750E48" w:rsidRDefault="008973A3">
      <w:pPr>
        <w:spacing w:line="320" w:lineRule="auto"/>
        <w:jc w:val="right"/>
        <w:rPr>
          <w:rFonts w:ascii="Calibri" w:eastAsia="Calibri" w:hAnsi="Calibri" w:cs="Calibri"/>
          <w:color w:val="1D1B11"/>
          <w:highlight w:val="yellow"/>
        </w:rPr>
      </w:pPr>
    </w:p>
    <w:p w14:paraId="227E545C" w14:textId="77777777" w:rsidR="008973A3" w:rsidRPr="004222F2" w:rsidRDefault="007F7710">
      <w:pPr>
        <w:keepNext/>
        <w:pBdr>
          <w:top w:val="nil"/>
          <w:left w:val="nil"/>
          <w:bottom w:val="nil"/>
          <w:right w:val="nil"/>
          <w:between w:val="nil"/>
        </w:pBdr>
        <w:tabs>
          <w:tab w:val="center" w:pos="4819"/>
          <w:tab w:val="right" w:pos="9638"/>
        </w:tabs>
        <w:rPr>
          <w:rFonts w:ascii="Calibri" w:eastAsia="Calibri" w:hAnsi="Calibri" w:cs="Calibri"/>
          <w:b/>
          <w:color w:val="000000"/>
          <w:sz w:val="20"/>
          <w:szCs w:val="20"/>
        </w:rPr>
      </w:pPr>
      <w:r w:rsidRPr="004222F2">
        <w:rPr>
          <w:rFonts w:ascii="Calibri" w:eastAsia="Calibri" w:hAnsi="Calibri" w:cs="Calibri"/>
          <w:b/>
          <w:color w:val="000000"/>
          <w:sz w:val="20"/>
          <w:szCs w:val="20"/>
        </w:rPr>
        <w:t>Nota metodologica</w:t>
      </w:r>
    </w:p>
    <w:p w14:paraId="63770BAF" w14:textId="6E6D5717" w:rsidR="008973A3" w:rsidRPr="004222F2" w:rsidRDefault="007F7710" w:rsidP="00AB5A12">
      <w:pPr>
        <w:pBdr>
          <w:top w:val="nil"/>
          <w:left w:val="nil"/>
          <w:bottom w:val="nil"/>
          <w:right w:val="nil"/>
          <w:between w:val="nil"/>
        </w:pBdr>
        <w:tabs>
          <w:tab w:val="center" w:pos="4819"/>
          <w:tab w:val="right" w:pos="9638"/>
        </w:tabs>
        <w:jc w:val="both"/>
        <w:rPr>
          <w:rFonts w:ascii="Calibri" w:eastAsia="Calibri" w:hAnsi="Calibri" w:cs="Calibri"/>
          <w:color w:val="000000"/>
          <w:sz w:val="20"/>
          <w:szCs w:val="20"/>
        </w:rPr>
      </w:pPr>
      <w:r w:rsidRPr="004222F2">
        <w:rPr>
          <w:rFonts w:ascii="Calibri" w:eastAsia="Calibri" w:hAnsi="Calibri" w:cs="Calibri"/>
          <w:color w:val="000000"/>
          <w:sz w:val="20"/>
          <w:szCs w:val="20"/>
        </w:rPr>
        <w:t xml:space="preserve">L’indagine Veneto Congiuntura del </w:t>
      </w:r>
      <w:r w:rsidR="004222F2" w:rsidRPr="004222F2">
        <w:rPr>
          <w:rFonts w:ascii="Calibri" w:eastAsia="Calibri" w:hAnsi="Calibri" w:cs="Calibri"/>
          <w:color w:val="000000"/>
          <w:sz w:val="20"/>
          <w:szCs w:val="20"/>
        </w:rPr>
        <w:t>quarto</w:t>
      </w:r>
      <w:r w:rsidRPr="004222F2">
        <w:rPr>
          <w:rFonts w:ascii="Calibri" w:eastAsia="Calibri" w:hAnsi="Calibri" w:cs="Calibri"/>
          <w:color w:val="000000"/>
          <w:sz w:val="20"/>
          <w:szCs w:val="20"/>
        </w:rPr>
        <w:t xml:space="preserve"> trimestre 2025 - realizzata da Unioncamere del Veneto - si basa su </w:t>
      </w:r>
      <w:r w:rsidR="004222F2" w:rsidRPr="004222F2">
        <w:rPr>
          <w:rFonts w:ascii="Calibri" w:eastAsia="Calibri" w:hAnsi="Calibri" w:cs="Calibri"/>
          <w:color w:val="000000"/>
          <w:sz w:val="20"/>
          <w:szCs w:val="20"/>
        </w:rPr>
        <w:t xml:space="preserve">1.994 </w:t>
      </w:r>
      <w:r w:rsidRPr="004222F2">
        <w:rPr>
          <w:rFonts w:ascii="Calibri" w:eastAsia="Calibri" w:hAnsi="Calibri" w:cs="Calibri"/>
          <w:color w:val="000000"/>
          <w:sz w:val="20"/>
          <w:szCs w:val="20"/>
        </w:rPr>
        <w:t xml:space="preserve">imprese </w:t>
      </w:r>
      <w:r w:rsidR="004222F2">
        <w:rPr>
          <w:rFonts w:ascii="Calibri" w:eastAsia="Calibri" w:hAnsi="Calibri" w:cs="Calibri"/>
          <w:color w:val="000000"/>
          <w:sz w:val="20"/>
          <w:szCs w:val="20"/>
        </w:rPr>
        <w:t xml:space="preserve">manifatturiere </w:t>
      </w:r>
      <w:r w:rsidRPr="004222F2">
        <w:rPr>
          <w:rFonts w:ascii="Calibri" w:eastAsia="Calibri" w:hAnsi="Calibri" w:cs="Calibri"/>
          <w:color w:val="000000"/>
          <w:sz w:val="20"/>
          <w:szCs w:val="20"/>
        </w:rPr>
        <w:t xml:space="preserve">del Veneto con almeno 10 addetti (per un totale di </w:t>
      </w:r>
      <w:r w:rsidR="004222F2" w:rsidRPr="004222F2">
        <w:rPr>
          <w:rFonts w:ascii="Calibri" w:eastAsia="Calibri" w:hAnsi="Calibri" w:cs="Calibri"/>
          <w:color w:val="000000"/>
          <w:sz w:val="20"/>
          <w:szCs w:val="20"/>
        </w:rPr>
        <w:t xml:space="preserve">122.863 </w:t>
      </w:r>
      <w:r w:rsidRPr="004222F2">
        <w:rPr>
          <w:rFonts w:ascii="Calibri" w:eastAsia="Calibri" w:hAnsi="Calibri" w:cs="Calibri"/>
          <w:color w:val="000000"/>
          <w:sz w:val="20"/>
          <w:szCs w:val="20"/>
        </w:rPr>
        <w:t xml:space="preserve">addetti) di cui </w:t>
      </w:r>
      <w:r w:rsidR="004222F2" w:rsidRPr="004222F2">
        <w:rPr>
          <w:rFonts w:ascii="Calibri" w:eastAsia="Calibri" w:hAnsi="Calibri" w:cs="Calibri"/>
          <w:color w:val="000000"/>
          <w:sz w:val="20"/>
          <w:szCs w:val="20"/>
        </w:rPr>
        <w:t>463</w:t>
      </w:r>
      <w:r w:rsidRPr="004222F2">
        <w:rPr>
          <w:rFonts w:ascii="Calibri" w:eastAsia="Calibri" w:hAnsi="Calibri" w:cs="Calibri"/>
          <w:color w:val="000000"/>
          <w:sz w:val="20"/>
          <w:szCs w:val="20"/>
        </w:rPr>
        <w:t xml:space="preserve"> imprese della provincia di Treviso (per un totale di </w:t>
      </w:r>
      <w:r w:rsidR="004222F2" w:rsidRPr="004222F2">
        <w:rPr>
          <w:rFonts w:ascii="Calibri" w:eastAsia="Calibri" w:hAnsi="Calibri" w:cs="Calibri"/>
          <w:color w:val="000000"/>
          <w:sz w:val="20"/>
          <w:szCs w:val="20"/>
        </w:rPr>
        <w:t xml:space="preserve">30.572 </w:t>
      </w:r>
      <w:r w:rsidRPr="004222F2">
        <w:rPr>
          <w:rFonts w:ascii="Calibri" w:eastAsia="Calibri" w:hAnsi="Calibri" w:cs="Calibri"/>
          <w:color w:val="000000"/>
          <w:sz w:val="20"/>
          <w:szCs w:val="20"/>
        </w:rPr>
        <w:t xml:space="preserve">addetti) e </w:t>
      </w:r>
      <w:r w:rsidR="004222F2" w:rsidRPr="004222F2">
        <w:rPr>
          <w:rFonts w:ascii="Calibri" w:eastAsia="Calibri" w:hAnsi="Calibri" w:cs="Calibri"/>
          <w:color w:val="000000"/>
          <w:sz w:val="20"/>
          <w:szCs w:val="20"/>
        </w:rPr>
        <w:t>74</w:t>
      </w:r>
      <w:r w:rsidRPr="004222F2">
        <w:rPr>
          <w:rFonts w:ascii="Calibri" w:eastAsia="Calibri" w:hAnsi="Calibri" w:cs="Calibri"/>
          <w:color w:val="000000"/>
          <w:sz w:val="20"/>
          <w:szCs w:val="20"/>
        </w:rPr>
        <w:t xml:space="preserve"> imprese della provincia di Belluno con almeno 10 addetti (per un totale di</w:t>
      </w:r>
      <w:r w:rsidR="000131D7" w:rsidRPr="004222F2">
        <w:rPr>
          <w:rFonts w:ascii="Calibri" w:eastAsia="Calibri" w:hAnsi="Calibri" w:cs="Calibri"/>
          <w:color w:val="000000"/>
          <w:sz w:val="20"/>
          <w:szCs w:val="20"/>
        </w:rPr>
        <w:t xml:space="preserve"> </w:t>
      </w:r>
      <w:r w:rsidR="004222F2" w:rsidRPr="004222F2">
        <w:rPr>
          <w:rFonts w:ascii="Calibri" w:eastAsia="Calibri" w:hAnsi="Calibri" w:cs="Calibri"/>
          <w:color w:val="000000"/>
          <w:sz w:val="20"/>
          <w:szCs w:val="20"/>
        </w:rPr>
        <w:t xml:space="preserve">4.340 </w:t>
      </w:r>
      <w:r w:rsidRPr="004222F2">
        <w:rPr>
          <w:rFonts w:ascii="Calibri" w:eastAsia="Calibri" w:hAnsi="Calibri" w:cs="Calibri"/>
          <w:color w:val="000000"/>
          <w:sz w:val="20"/>
          <w:szCs w:val="20"/>
        </w:rPr>
        <w:t>addetti).</w:t>
      </w:r>
    </w:p>
    <w:p w14:paraId="20B30D4B" w14:textId="77777777" w:rsidR="008973A3" w:rsidRPr="004222F2" w:rsidRDefault="008973A3">
      <w:pPr>
        <w:rPr>
          <w:rFonts w:ascii="Calibri" w:eastAsia="Calibri" w:hAnsi="Calibri" w:cs="Calibri"/>
          <w:color w:val="00B0F0"/>
        </w:rPr>
      </w:pPr>
    </w:p>
    <w:tbl>
      <w:tblPr>
        <w:tblStyle w:val="afff1"/>
        <w:tblpPr w:leftFromText="141" w:rightFromText="141" w:vertAnchor="text"/>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251"/>
      </w:tblGrid>
      <w:tr w:rsidR="008973A3" w:rsidRPr="00750E48" w14:paraId="6E55D1A8" w14:textId="77777777">
        <w:trPr>
          <w:trHeight w:val="274"/>
        </w:trPr>
        <w:tc>
          <w:tcPr>
            <w:tcW w:w="4254" w:type="dxa"/>
          </w:tcPr>
          <w:p w14:paraId="1011B99C" w14:textId="77777777" w:rsidR="008973A3" w:rsidRPr="004222F2" w:rsidRDefault="007F7710">
            <w:pPr>
              <w:rPr>
                <w:rFonts w:ascii="Calibri" w:eastAsia="Calibri" w:hAnsi="Calibri" w:cs="Calibri"/>
                <w:color w:val="00B0F0"/>
                <w:sz w:val="22"/>
                <w:szCs w:val="22"/>
              </w:rPr>
            </w:pPr>
            <w:r w:rsidRPr="004222F2">
              <w:rPr>
                <w:rFonts w:ascii="Calibri" w:eastAsia="Calibri" w:hAnsi="Calibri" w:cs="Calibri"/>
                <w:color w:val="00B0F0"/>
                <w:sz w:val="22"/>
                <w:szCs w:val="22"/>
              </w:rPr>
              <w:t>Informazioni:</w:t>
            </w:r>
          </w:p>
          <w:p w14:paraId="61E9525B" w14:textId="14987B28" w:rsidR="00885750" w:rsidRPr="004222F2" w:rsidRDefault="00885750">
            <w:pPr>
              <w:rPr>
                <w:rFonts w:ascii="Calibri" w:eastAsia="Calibri" w:hAnsi="Calibri" w:cs="Calibri"/>
                <w:sz w:val="22"/>
                <w:szCs w:val="22"/>
              </w:rPr>
            </w:pPr>
            <w:r>
              <w:rPr>
                <w:rFonts w:ascii="Calibri" w:eastAsia="Calibri" w:hAnsi="Calibri" w:cs="Calibri"/>
                <w:sz w:val="22"/>
                <w:szCs w:val="22"/>
              </w:rPr>
              <w:t xml:space="preserve">Report redatto </w:t>
            </w:r>
            <w:r w:rsidR="003D0EA1">
              <w:rPr>
                <w:rFonts w:ascii="Calibri" w:eastAsia="Calibri" w:hAnsi="Calibri" w:cs="Calibri"/>
                <w:sz w:val="22"/>
                <w:szCs w:val="22"/>
              </w:rPr>
              <w:t xml:space="preserve">a cura </w:t>
            </w:r>
            <w:r>
              <w:rPr>
                <w:rFonts w:ascii="Calibri" w:eastAsia="Calibri" w:hAnsi="Calibri" w:cs="Calibri"/>
                <w:sz w:val="22"/>
                <w:szCs w:val="22"/>
              </w:rPr>
              <w:t>d</w:t>
            </w:r>
            <w:r w:rsidR="003D0EA1">
              <w:rPr>
                <w:rFonts w:ascii="Calibri" w:eastAsia="Calibri" w:hAnsi="Calibri" w:cs="Calibri"/>
                <w:sz w:val="22"/>
                <w:szCs w:val="22"/>
              </w:rPr>
              <w:t>e</w:t>
            </w:r>
            <w:r>
              <w:rPr>
                <w:rFonts w:ascii="Calibri" w:eastAsia="Calibri" w:hAnsi="Calibri" w:cs="Calibri"/>
                <w:sz w:val="22"/>
                <w:szCs w:val="22"/>
              </w:rPr>
              <w:t>ll’</w:t>
            </w:r>
            <w:r w:rsidR="007F7710" w:rsidRPr="004222F2">
              <w:rPr>
                <w:rFonts w:ascii="Calibri" w:eastAsia="Calibri" w:hAnsi="Calibri" w:cs="Calibri"/>
                <w:sz w:val="22"/>
                <w:szCs w:val="22"/>
              </w:rPr>
              <w:t>Ufficio Studi e Statistica</w:t>
            </w:r>
            <w:r w:rsidR="003D0EA1">
              <w:rPr>
                <w:rFonts w:ascii="Calibri" w:eastAsia="Calibri" w:hAnsi="Calibri" w:cs="Calibri"/>
                <w:sz w:val="22"/>
                <w:szCs w:val="22"/>
              </w:rPr>
              <w:t xml:space="preserve">, </w:t>
            </w:r>
            <w:r w:rsidR="007F7710" w:rsidRPr="004222F2">
              <w:rPr>
                <w:rFonts w:ascii="Calibri" w:eastAsia="Calibri" w:hAnsi="Calibri" w:cs="Calibri"/>
                <w:sz w:val="22"/>
                <w:szCs w:val="22"/>
              </w:rPr>
              <w:t xml:space="preserve">Camera di Commercio di Treviso </w:t>
            </w:r>
            <w:r>
              <w:rPr>
                <w:rFonts w:ascii="Calibri" w:eastAsia="Calibri" w:hAnsi="Calibri" w:cs="Calibri"/>
                <w:sz w:val="22"/>
                <w:szCs w:val="22"/>
              </w:rPr>
              <w:t>–</w:t>
            </w:r>
            <w:r w:rsidR="007F7710" w:rsidRPr="004222F2">
              <w:rPr>
                <w:rFonts w:ascii="Calibri" w:eastAsia="Calibri" w:hAnsi="Calibri" w:cs="Calibri"/>
                <w:sz w:val="22"/>
                <w:szCs w:val="22"/>
              </w:rPr>
              <w:t xml:space="preserve"> Belluno</w:t>
            </w:r>
            <w:r w:rsidR="003D0EA1">
              <w:rPr>
                <w:rFonts w:ascii="Calibri" w:eastAsia="Calibri" w:hAnsi="Calibri" w:cs="Calibri"/>
                <w:sz w:val="22"/>
                <w:szCs w:val="22"/>
              </w:rPr>
              <w:t xml:space="preserve">, </w:t>
            </w:r>
            <w:r>
              <w:rPr>
                <w:rFonts w:ascii="Calibri" w:eastAsia="Calibri" w:hAnsi="Calibri" w:cs="Calibri"/>
                <w:sz w:val="22"/>
                <w:szCs w:val="22"/>
              </w:rPr>
              <w:t>in collaborazione con Unioncamere del Veneto, Università degli Studi di Padova, Università Ca’ Foscari Venezia</w:t>
            </w:r>
          </w:p>
          <w:p w14:paraId="3DCB7F33" w14:textId="77777777" w:rsidR="008973A3" w:rsidRPr="004222F2" w:rsidRDefault="007F7710">
            <w:pPr>
              <w:rPr>
                <w:rFonts w:ascii="Calibri" w:eastAsia="Calibri" w:hAnsi="Calibri" w:cs="Calibri"/>
                <w:sz w:val="22"/>
                <w:szCs w:val="22"/>
              </w:rPr>
            </w:pPr>
            <w:r w:rsidRPr="004222F2">
              <w:rPr>
                <w:rFonts w:ascii="Calibri" w:eastAsia="Calibri" w:hAnsi="Calibri" w:cs="Calibri"/>
                <w:sz w:val="22"/>
                <w:szCs w:val="22"/>
              </w:rPr>
              <w:t>Tel.: 0422.595239 - 362</w:t>
            </w:r>
          </w:p>
          <w:p w14:paraId="42DBA7F6" w14:textId="77777777" w:rsidR="008973A3" w:rsidRPr="004222F2" w:rsidRDefault="007F7710">
            <w:pPr>
              <w:rPr>
                <w:rFonts w:ascii="Calibri" w:eastAsia="Calibri" w:hAnsi="Calibri" w:cs="Calibri"/>
                <w:sz w:val="22"/>
                <w:szCs w:val="22"/>
              </w:rPr>
            </w:pPr>
            <w:r w:rsidRPr="004222F2">
              <w:rPr>
                <w:rFonts w:ascii="Calibri" w:eastAsia="Calibri" w:hAnsi="Calibri" w:cs="Calibri"/>
                <w:sz w:val="22"/>
                <w:szCs w:val="22"/>
              </w:rPr>
              <w:t xml:space="preserve">E-mail: </w:t>
            </w:r>
            <w:hyperlink r:id="rId16">
              <w:r w:rsidRPr="004222F2">
                <w:rPr>
                  <w:rFonts w:ascii="Calibri" w:eastAsia="Calibri" w:hAnsi="Calibri" w:cs="Calibri"/>
                  <w:color w:val="0000FF"/>
                  <w:sz w:val="22"/>
                  <w:szCs w:val="22"/>
                  <w:u w:val="single"/>
                </w:rPr>
                <w:t>statistica@tb.camcom.it</w:t>
              </w:r>
            </w:hyperlink>
            <w:r w:rsidRPr="004222F2">
              <w:rPr>
                <w:rFonts w:ascii="Calibri" w:eastAsia="Calibri" w:hAnsi="Calibri" w:cs="Calibri"/>
                <w:sz w:val="22"/>
                <w:szCs w:val="22"/>
              </w:rPr>
              <w:t xml:space="preserve"> </w:t>
            </w:r>
          </w:p>
          <w:p w14:paraId="7FC75970" w14:textId="77777777" w:rsidR="008973A3" w:rsidRPr="004222F2" w:rsidRDefault="008973A3">
            <w:pPr>
              <w:rPr>
                <w:rFonts w:ascii="Calibri" w:eastAsia="Calibri" w:hAnsi="Calibri" w:cs="Calibri"/>
                <w:sz w:val="22"/>
                <w:szCs w:val="22"/>
              </w:rPr>
            </w:pPr>
          </w:p>
        </w:tc>
        <w:tc>
          <w:tcPr>
            <w:tcW w:w="4251" w:type="dxa"/>
          </w:tcPr>
          <w:p w14:paraId="1DBF0C0F" w14:textId="09B6B7C5" w:rsidR="008973A3" w:rsidRPr="004222F2" w:rsidRDefault="007F7710">
            <w:pPr>
              <w:rPr>
                <w:rFonts w:ascii="Calibri" w:eastAsia="Calibri" w:hAnsi="Calibri" w:cs="Calibri"/>
                <w:color w:val="00B0F0"/>
                <w:sz w:val="22"/>
                <w:szCs w:val="22"/>
              </w:rPr>
            </w:pPr>
            <w:r w:rsidRPr="004222F2">
              <w:rPr>
                <w:rFonts w:ascii="Calibri" w:eastAsia="Calibri" w:hAnsi="Calibri" w:cs="Calibri"/>
                <w:color w:val="00B0F0"/>
                <w:sz w:val="22"/>
                <w:szCs w:val="22"/>
              </w:rPr>
              <w:t>Informazioni per la stampa:</w:t>
            </w:r>
          </w:p>
          <w:p w14:paraId="453E645B" w14:textId="77777777" w:rsidR="008973A3" w:rsidRPr="004222F2" w:rsidRDefault="007F7710">
            <w:pPr>
              <w:tabs>
                <w:tab w:val="left" w:pos="831"/>
              </w:tabs>
              <w:rPr>
                <w:rFonts w:ascii="Calibri" w:eastAsia="Calibri" w:hAnsi="Calibri" w:cs="Calibri"/>
                <w:sz w:val="22"/>
                <w:szCs w:val="22"/>
              </w:rPr>
            </w:pPr>
            <w:r w:rsidRPr="004222F2">
              <w:rPr>
                <w:rFonts w:ascii="Calibri" w:eastAsia="Calibri" w:hAnsi="Calibri" w:cs="Calibri"/>
                <w:sz w:val="22"/>
                <w:szCs w:val="22"/>
              </w:rPr>
              <w:t>Silvia Trevisan</w:t>
            </w:r>
          </w:p>
          <w:p w14:paraId="059CC6C9" w14:textId="77777777" w:rsidR="008973A3" w:rsidRPr="004222F2" w:rsidRDefault="007F7710">
            <w:pPr>
              <w:tabs>
                <w:tab w:val="left" w:pos="831"/>
              </w:tabs>
              <w:rPr>
                <w:rFonts w:ascii="Calibri" w:eastAsia="Calibri" w:hAnsi="Calibri" w:cs="Calibri"/>
                <w:sz w:val="22"/>
                <w:szCs w:val="22"/>
              </w:rPr>
            </w:pPr>
            <w:r w:rsidRPr="004222F2">
              <w:rPr>
                <w:rFonts w:ascii="Calibri" w:eastAsia="Calibri" w:hAnsi="Calibri" w:cs="Calibri"/>
                <w:sz w:val="22"/>
                <w:szCs w:val="22"/>
              </w:rPr>
              <w:t>Comunicazione e Media Relations</w:t>
            </w:r>
          </w:p>
          <w:p w14:paraId="6A82CAAF" w14:textId="77777777" w:rsidR="008973A3" w:rsidRPr="004222F2" w:rsidRDefault="007F7710">
            <w:pPr>
              <w:tabs>
                <w:tab w:val="left" w:pos="831"/>
              </w:tabs>
              <w:rPr>
                <w:rFonts w:ascii="Calibri" w:eastAsia="Calibri" w:hAnsi="Calibri" w:cs="Calibri"/>
                <w:sz w:val="22"/>
                <w:szCs w:val="22"/>
              </w:rPr>
            </w:pPr>
            <w:r w:rsidRPr="004222F2">
              <w:rPr>
                <w:rFonts w:ascii="Calibri" w:eastAsia="Calibri" w:hAnsi="Calibri" w:cs="Calibri"/>
                <w:sz w:val="22"/>
                <w:szCs w:val="22"/>
              </w:rPr>
              <w:t>Staff del Presidente</w:t>
            </w:r>
          </w:p>
          <w:p w14:paraId="36A68839" w14:textId="77777777" w:rsidR="008973A3" w:rsidRPr="004222F2" w:rsidRDefault="007F7710">
            <w:pPr>
              <w:tabs>
                <w:tab w:val="left" w:pos="831"/>
              </w:tabs>
              <w:rPr>
                <w:rFonts w:ascii="Calibri" w:eastAsia="Calibri" w:hAnsi="Calibri" w:cs="Calibri"/>
                <w:sz w:val="22"/>
                <w:szCs w:val="22"/>
              </w:rPr>
            </w:pPr>
            <w:r w:rsidRPr="004222F2">
              <w:rPr>
                <w:rFonts w:ascii="Calibri" w:eastAsia="Calibri" w:hAnsi="Calibri" w:cs="Calibri"/>
                <w:sz w:val="22"/>
                <w:szCs w:val="22"/>
              </w:rPr>
              <w:t>Tel.: 0422-595366   Cell.: 391-3236809</w:t>
            </w:r>
          </w:p>
          <w:p w14:paraId="3DD0A6FA" w14:textId="77777777" w:rsidR="008973A3" w:rsidRDefault="007F7710">
            <w:pPr>
              <w:rPr>
                <w:rFonts w:ascii="Calibri" w:eastAsia="Calibri" w:hAnsi="Calibri" w:cs="Calibri"/>
                <w:sz w:val="22"/>
                <w:szCs w:val="22"/>
              </w:rPr>
            </w:pPr>
            <w:r w:rsidRPr="004222F2">
              <w:rPr>
                <w:rFonts w:ascii="Calibri" w:eastAsia="Calibri" w:hAnsi="Calibri" w:cs="Calibri"/>
                <w:sz w:val="22"/>
                <w:szCs w:val="22"/>
              </w:rPr>
              <w:t xml:space="preserve">E-mail: </w:t>
            </w:r>
            <w:hyperlink r:id="rId17">
              <w:r w:rsidRPr="004222F2">
                <w:rPr>
                  <w:rFonts w:ascii="Calibri" w:eastAsia="Calibri" w:hAnsi="Calibri" w:cs="Calibri"/>
                  <w:color w:val="0000FF"/>
                  <w:sz w:val="22"/>
                  <w:szCs w:val="22"/>
                  <w:u w:val="single"/>
                </w:rPr>
                <w:t>silvia.trevisan@tb.camcom.it</w:t>
              </w:r>
            </w:hyperlink>
            <w:r w:rsidRPr="004222F2">
              <w:rPr>
                <w:rFonts w:ascii="Calibri" w:eastAsia="Calibri" w:hAnsi="Calibri" w:cs="Calibri"/>
                <w:sz w:val="22"/>
                <w:szCs w:val="22"/>
              </w:rPr>
              <w:t xml:space="preserve"> </w:t>
            </w:r>
          </w:p>
          <w:p w14:paraId="62AA7FAF" w14:textId="77777777" w:rsidR="003D0EA1" w:rsidRDefault="003D0EA1">
            <w:pPr>
              <w:rPr>
                <w:rFonts w:ascii="Calibri" w:eastAsia="Calibri" w:hAnsi="Calibri" w:cs="Calibri"/>
                <w:sz w:val="22"/>
                <w:szCs w:val="22"/>
              </w:rPr>
            </w:pPr>
          </w:p>
          <w:p w14:paraId="5B3263E9" w14:textId="08745697" w:rsidR="00F57323" w:rsidRPr="00F57323" w:rsidRDefault="00F57323" w:rsidP="00F57323">
            <w:pPr>
              <w:rPr>
                <w:rFonts w:ascii="Calibri" w:eastAsia="Calibri" w:hAnsi="Calibri" w:cs="Calibri"/>
                <w:sz w:val="22"/>
                <w:szCs w:val="22"/>
              </w:rPr>
            </w:pPr>
            <w:r w:rsidRPr="00F57323">
              <w:rPr>
                <w:rFonts w:ascii="Calibri" w:eastAsia="Calibri" w:hAnsi="Calibri" w:cs="Calibri"/>
                <w:sz w:val="22"/>
                <w:szCs w:val="22"/>
              </w:rPr>
              <w:t>Marta Bagno</w:t>
            </w:r>
          </w:p>
          <w:p w14:paraId="3E74877E" w14:textId="722A8837" w:rsidR="00F57323" w:rsidRPr="00F57323" w:rsidRDefault="00F57323" w:rsidP="00F57323">
            <w:pPr>
              <w:rPr>
                <w:rFonts w:ascii="Calibri" w:eastAsia="Calibri" w:hAnsi="Calibri" w:cs="Calibri"/>
                <w:sz w:val="22"/>
                <w:szCs w:val="22"/>
              </w:rPr>
            </w:pPr>
            <w:r w:rsidRPr="00F57323">
              <w:rPr>
                <w:rFonts w:ascii="Calibri" w:eastAsia="Calibri" w:hAnsi="Calibri" w:cs="Calibri"/>
                <w:sz w:val="22"/>
                <w:szCs w:val="22"/>
              </w:rPr>
              <w:t>Ufficio Stampa Unioncamere Veneto – Eurosportello</w:t>
            </w:r>
          </w:p>
          <w:p w14:paraId="76933B53" w14:textId="64B88A02" w:rsidR="00F57323" w:rsidRPr="00F57323" w:rsidRDefault="00F57323" w:rsidP="00F57323">
            <w:pPr>
              <w:rPr>
                <w:rFonts w:ascii="Calibri" w:eastAsia="Calibri" w:hAnsi="Calibri" w:cs="Calibri"/>
                <w:sz w:val="22"/>
                <w:szCs w:val="22"/>
              </w:rPr>
            </w:pPr>
            <w:r w:rsidRPr="00F57323">
              <w:rPr>
                <w:rFonts w:ascii="Calibri" w:eastAsia="Calibri" w:hAnsi="Calibri" w:cs="Calibri"/>
                <w:sz w:val="22"/>
                <w:szCs w:val="22"/>
              </w:rPr>
              <w:t>Cell: + 39 3483311659</w:t>
            </w:r>
          </w:p>
          <w:p w14:paraId="4AD98E32" w14:textId="05FD79BD" w:rsidR="003D0EA1" w:rsidRDefault="00F57323" w:rsidP="00F57323">
            <w:pPr>
              <w:rPr>
                <w:rFonts w:ascii="Calibri" w:eastAsia="Calibri" w:hAnsi="Calibri" w:cs="Calibri"/>
                <w:sz w:val="22"/>
                <w:szCs w:val="22"/>
              </w:rPr>
            </w:pPr>
            <w:r w:rsidRPr="00F57323">
              <w:rPr>
                <w:rFonts w:ascii="Calibri" w:eastAsia="Calibri" w:hAnsi="Calibri" w:cs="Calibri"/>
                <w:sz w:val="22"/>
                <w:szCs w:val="22"/>
              </w:rPr>
              <w:t xml:space="preserve">E-mail: </w:t>
            </w:r>
            <w:hyperlink r:id="rId18" w:history="1">
              <w:r w:rsidRPr="0027528A">
                <w:rPr>
                  <w:rStyle w:val="Collegamentoipertestuale"/>
                  <w:rFonts w:ascii="Calibri" w:eastAsia="Calibri" w:hAnsi="Calibri" w:cs="Calibri"/>
                  <w:sz w:val="22"/>
                  <w:szCs w:val="22"/>
                </w:rPr>
                <w:t>unione@ven.camcom.it</w:t>
              </w:r>
            </w:hyperlink>
            <w:r>
              <w:rPr>
                <w:rFonts w:ascii="Calibri" w:eastAsia="Calibri" w:hAnsi="Calibri" w:cs="Calibri"/>
                <w:sz w:val="22"/>
                <w:szCs w:val="22"/>
              </w:rPr>
              <w:t xml:space="preserve"> </w:t>
            </w:r>
          </w:p>
          <w:p w14:paraId="4969E215" w14:textId="77777777" w:rsidR="003D0EA1" w:rsidRDefault="003D0EA1">
            <w:pPr>
              <w:rPr>
                <w:rFonts w:ascii="Calibri" w:eastAsia="Calibri" w:hAnsi="Calibri" w:cs="Calibri"/>
                <w:sz w:val="22"/>
                <w:szCs w:val="22"/>
              </w:rPr>
            </w:pPr>
          </w:p>
          <w:p w14:paraId="2DC4B4B8" w14:textId="41248811" w:rsidR="003D0EA1" w:rsidRPr="004222F2" w:rsidRDefault="003D0EA1">
            <w:pPr>
              <w:rPr>
                <w:rFonts w:ascii="Calibri" w:eastAsia="Calibri" w:hAnsi="Calibri" w:cs="Calibri"/>
                <w:sz w:val="22"/>
                <w:szCs w:val="22"/>
              </w:rPr>
            </w:pPr>
          </w:p>
        </w:tc>
      </w:tr>
    </w:tbl>
    <w:p w14:paraId="6D58F990" w14:textId="77777777" w:rsidR="008973A3" w:rsidRPr="00750E48" w:rsidRDefault="008973A3">
      <w:pPr>
        <w:rPr>
          <w:rFonts w:ascii="Calibri" w:eastAsia="Calibri" w:hAnsi="Calibri" w:cs="Calibri"/>
          <w:color w:val="00B0F0"/>
          <w:highlight w:val="yellow"/>
        </w:rPr>
      </w:pPr>
    </w:p>
    <w:p w14:paraId="096AF9EF" w14:textId="69562C92" w:rsidR="008973A3" w:rsidRPr="00B477FC" w:rsidRDefault="007F7710">
      <w:pPr>
        <w:spacing w:after="120"/>
        <w:rPr>
          <w:rFonts w:ascii="Calibri" w:eastAsia="Calibri" w:hAnsi="Calibri" w:cs="Calibri"/>
          <w:b/>
          <w:sz w:val="20"/>
          <w:szCs w:val="20"/>
        </w:rPr>
      </w:pPr>
      <w:r w:rsidRPr="005B79BD">
        <w:rPr>
          <w:rFonts w:ascii="Calibri" w:eastAsia="Calibri" w:hAnsi="Calibri" w:cs="Calibri"/>
          <w:b/>
          <w:sz w:val="20"/>
          <w:szCs w:val="20"/>
        </w:rPr>
        <w:t>Appendice statistica</w:t>
      </w:r>
      <w:r w:rsidRPr="00B477FC">
        <w:rPr>
          <w:rFonts w:ascii="Calibri" w:eastAsia="Calibri" w:hAnsi="Calibri" w:cs="Calibri"/>
          <w:b/>
          <w:sz w:val="20"/>
          <w:szCs w:val="20"/>
        </w:rPr>
        <w:t xml:space="preserve"> </w:t>
      </w:r>
    </w:p>
    <w:p w14:paraId="581042A5" w14:textId="01A0AC52" w:rsidR="00106433" w:rsidRPr="00B477FC" w:rsidRDefault="00106433" w:rsidP="00106433">
      <w:pPr>
        <w:numPr>
          <w:ilvl w:val="0"/>
          <w:numId w:val="1"/>
        </w:numPr>
        <w:pBdr>
          <w:top w:val="nil"/>
          <w:left w:val="nil"/>
          <w:bottom w:val="nil"/>
          <w:right w:val="nil"/>
          <w:between w:val="nil"/>
        </w:pBdr>
        <w:spacing w:after="60"/>
        <w:ind w:left="318" w:hanging="318"/>
        <w:jc w:val="both"/>
        <w:rPr>
          <w:rFonts w:ascii="Calibri" w:eastAsia="Calibri" w:hAnsi="Calibri" w:cs="Calibri"/>
          <w:color w:val="000000"/>
          <w:sz w:val="20"/>
          <w:szCs w:val="20"/>
        </w:rPr>
      </w:pPr>
      <w:r w:rsidRPr="00B477FC">
        <w:rPr>
          <w:rFonts w:ascii="Calibri" w:eastAsia="Calibri" w:hAnsi="Calibri" w:cs="Calibri"/>
          <w:color w:val="000000"/>
          <w:sz w:val="20"/>
          <w:szCs w:val="20"/>
        </w:rPr>
        <w:t xml:space="preserve">Tab. 1 – </w:t>
      </w:r>
      <w:r>
        <w:rPr>
          <w:rFonts w:ascii="Calibri" w:eastAsia="Calibri" w:hAnsi="Calibri" w:cs="Calibri"/>
          <w:color w:val="000000"/>
          <w:sz w:val="20"/>
          <w:szCs w:val="20"/>
        </w:rPr>
        <w:t>VENETO</w:t>
      </w:r>
      <w:r w:rsidRPr="00B477FC">
        <w:rPr>
          <w:rFonts w:ascii="Calibri" w:eastAsia="Calibri" w:hAnsi="Calibri" w:cs="Calibri"/>
          <w:color w:val="000000"/>
          <w:sz w:val="20"/>
          <w:szCs w:val="20"/>
        </w:rPr>
        <w:t>: andamento dei principali indicatori. Produzione, fatturato, nuovi ordinativi (variazioni % trimestrali congiunturali e tendenziali), capacità produttiva e portafoglio ordini. 1° trim. 2022-4° trim.2025</w:t>
      </w:r>
    </w:p>
    <w:p w14:paraId="64462714" w14:textId="6C16DAD1" w:rsidR="00106433" w:rsidRPr="00B477FC" w:rsidRDefault="00106433" w:rsidP="00106433">
      <w:pPr>
        <w:numPr>
          <w:ilvl w:val="0"/>
          <w:numId w:val="1"/>
        </w:numPr>
        <w:pBdr>
          <w:top w:val="nil"/>
          <w:left w:val="nil"/>
          <w:bottom w:val="nil"/>
          <w:right w:val="nil"/>
          <w:between w:val="nil"/>
        </w:pBdr>
        <w:spacing w:after="60"/>
        <w:ind w:left="318" w:hanging="318"/>
        <w:jc w:val="both"/>
        <w:rPr>
          <w:rFonts w:ascii="Calibri" w:eastAsia="Calibri" w:hAnsi="Calibri" w:cs="Calibri"/>
          <w:color w:val="000000"/>
          <w:sz w:val="20"/>
          <w:szCs w:val="20"/>
        </w:rPr>
      </w:pPr>
      <w:r w:rsidRPr="00B477FC">
        <w:rPr>
          <w:rFonts w:ascii="Calibri" w:eastAsia="Calibri" w:hAnsi="Calibri" w:cs="Calibri"/>
          <w:color w:val="000000"/>
          <w:sz w:val="20"/>
          <w:szCs w:val="20"/>
        </w:rPr>
        <w:t xml:space="preserve">Tab. 2 – </w:t>
      </w:r>
      <w:r>
        <w:rPr>
          <w:rFonts w:ascii="Calibri" w:eastAsia="Calibri" w:hAnsi="Calibri" w:cs="Calibri"/>
          <w:color w:val="000000"/>
          <w:sz w:val="20"/>
          <w:szCs w:val="20"/>
        </w:rPr>
        <w:t>VENETO</w:t>
      </w:r>
      <w:r w:rsidRPr="00B477FC">
        <w:rPr>
          <w:rFonts w:ascii="Calibri" w:eastAsia="Calibri" w:hAnsi="Calibri" w:cs="Calibri"/>
          <w:color w:val="000000"/>
          <w:sz w:val="20"/>
          <w:szCs w:val="20"/>
        </w:rPr>
        <w:t>: previsioni per il 1° trimestre 2026 e confronto con le previsioni dei trimestri precedenti. Percentuali di giudizi di aumento, stabilità, diminuzione e saldo per produzione, fatturato e nuovi ordinativi. Previsioni raccolte nel 4° trimestre 2025</w:t>
      </w:r>
    </w:p>
    <w:p w14:paraId="6802F999" w14:textId="6FF8C638" w:rsidR="008973A3" w:rsidRPr="00B477FC" w:rsidRDefault="007F7710">
      <w:pPr>
        <w:numPr>
          <w:ilvl w:val="0"/>
          <w:numId w:val="1"/>
        </w:numPr>
        <w:pBdr>
          <w:top w:val="nil"/>
          <w:left w:val="nil"/>
          <w:bottom w:val="nil"/>
          <w:right w:val="nil"/>
          <w:between w:val="nil"/>
        </w:pBdr>
        <w:spacing w:after="60"/>
        <w:ind w:left="318" w:hanging="318"/>
        <w:jc w:val="both"/>
        <w:rPr>
          <w:rFonts w:ascii="Calibri" w:eastAsia="Calibri" w:hAnsi="Calibri" w:cs="Calibri"/>
          <w:color w:val="000000"/>
          <w:sz w:val="20"/>
          <w:szCs w:val="20"/>
        </w:rPr>
      </w:pPr>
      <w:r w:rsidRPr="00B477FC">
        <w:rPr>
          <w:rFonts w:ascii="Calibri" w:eastAsia="Calibri" w:hAnsi="Calibri" w:cs="Calibri"/>
          <w:color w:val="000000"/>
          <w:sz w:val="20"/>
          <w:szCs w:val="20"/>
        </w:rPr>
        <w:t xml:space="preserve">Tab. </w:t>
      </w:r>
      <w:r w:rsidR="00106433">
        <w:rPr>
          <w:rFonts w:ascii="Calibri" w:eastAsia="Calibri" w:hAnsi="Calibri" w:cs="Calibri"/>
          <w:color w:val="000000"/>
          <w:sz w:val="20"/>
          <w:szCs w:val="20"/>
        </w:rPr>
        <w:t>3</w:t>
      </w:r>
      <w:r w:rsidRPr="00B477FC">
        <w:rPr>
          <w:rFonts w:ascii="Calibri" w:eastAsia="Calibri" w:hAnsi="Calibri" w:cs="Calibri"/>
          <w:color w:val="000000"/>
          <w:sz w:val="20"/>
          <w:szCs w:val="20"/>
        </w:rPr>
        <w:t xml:space="preserve"> – Province di TREVISO e di BELLUNO: andamento dei principali indicatori. Produzione, fatturato, nuovi ordinativi (variazioni % trimestrali congiunturali e tendenziali), capacità produttiva e portafoglio ordini. 1° trim. 2022-</w:t>
      </w:r>
      <w:r w:rsidR="00CC606F" w:rsidRPr="00B477FC">
        <w:rPr>
          <w:rFonts w:ascii="Calibri" w:eastAsia="Calibri" w:hAnsi="Calibri" w:cs="Calibri"/>
          <w:color w:val="000000"/>
          <w:sz w:val="20"/>
          <w:szCs w:val="20"/>
        </w:rPr>
        <w:t>4</w:t>
      </w:r>
      <w:r w:rsidRPr="00B477FC">
        <w:rPr>
          <w:rFonts w:ascii="Calibri" w:eastAsia="Calibri" w:hAnsi="Calibri" w:cs="Calibri"/>
          <w:color w:val="000000"/>
          <w:sz w:val="20"/>
          <w:szCs w:val="20"/>
        </w:rPr>
        <w:t>° trim.2025</w:t>
      </w:r>
    </w:p>
    <w:p w14:paraId="59A8655B" w14:textId="3D8D77EC" w:rsidR="008973A3" w:rsidRPr="002E67F8" w:rsidRDefault="00A154A1" w:rsidP="00261F05">
      <w:pPr>
        <w:numPr>
          <w:ilvl w:val="0"/>
          <w:numId w:val="1"/>
        </w:numPr>
        <w:pBdr>
          <w:top w:val="nil"/>
          <w:left w:val="nil"/>
          <w:bottom w:val="nil"/>
          <w:right w:val="nil"/>
          <w:between w:val="nil"/>
        </w:pBdr>
        <w:spacing w:after="60"/>
        <w:ind w:left="318" w:hanging="318"/>
        <w:jc w:val="both"/>
        <w:rPr>
          <w:rFonts w:ascii="Calibri" w:eastAsia="Calibri" w:hAnsi="Calibri" w:cs="Calibri"/>
          <w:color w:val="000000"/>
          <w:sz w:val="20"/>
          <w:szCs w:val="20"/>
        </w:rPr>
      </w:pPr>
      <w:r w:rsidRPr="00B477FC">
        <w:rPr>
          <w:rFonts w:ascii="Calibri" w:eastAsia="Calibri" w:hAnsi="Calibri" w:cs="Calibri"/>
          <w:color w:val="000000"/>
          <w:sz w:val="20"/>
          <w:szCs w:val="20"/>
        </w:rPr>
        <w:t xml:space="preserve">Tab. </w:t>
      </w:r>
      <w:r w:rsidR="00106433">
        <w:rPr>
          <w:rFonts w:ascii="Calibri" w:eastAsia="Calibri" w:hAnsi="Calibri" w:cs="Calibri"/>
          <w:color w:val="000000"/>
          <w:sz w:val="20"/>
          <w:szCs w:val="20"/>
        </w:rPr>
        <w:t>4</w:t>
      </w:r>
      <w:r w:rsidRPr="00B477FC">
        <w:rPr>
          <w:rFonts w:ascii="Calibri" w:eastAsia="Calibri" w:hAnsi="Calibri" w:cs="Calibri"/>
          <w:color w:val="000000"/>
          <w:sz w:val="20"/>
          <w:szCs w:val="20"/>
        </w:rPr>
        <w:t xml:space="preserve"> – Province di TREVISO e di BELLUNO: previsioni per il </w:t>
      </w:r>
      <w:r w:rsidR="00CC606F" w:rsidRPr="00B477FC">
        <w:rPr>
          <w:rFonts w:ascii="Calibri" w:eastAsia="Calibri" w:hAnsi="Calibri" w:cs="Calibri"/>
          <w:color w:val="000000"/>
          <w:sz w:val="20"/>
          <w:szCs w:val="20"/>
        </w:rPr>
        <w:t>1</w:t>
      </w:r>
      <w:r w:rsidRPr="00B477FC">
        <w:rPr>
          <w:rFonts w:ascii="Calibri" w:eastAsia="Calibri" w:hAnsi="Calibri" w:cs="Calibri"/>
          <w:color w:val="000000"/>
          <w:sz w:val="20"/>
          <w:szCs w:val="20"/>
        </w:rPr>
        <w:t>° trimestre 202</w:t>
      </w:r>
      <w:r w:rsidR="00CC606F" w:rsidRPr="00B477FC">
        <w:rPr>
          <w:rFonts w:ascii="Calibri" w:eastAsia="Calibri" w:hAnsi="Calibri" w:cs="Calibri"/>
          <w:color w:val="000000"/>
          <w:sz w:val="20"/>
          <w:szCs w:val="20"/>
        </w:rPr>
        <w:t>6</w:t>
      </w:r>
      <w:r w:rsidRPr="00B477FC">
        <w:rPr>
          <w:rFonts w:ascii="Calibri" w:eastAsia="Calibri" w:hAnsi="Calibri" w:cs="Calibri"/>
          <w:color w:val="000000"/>
          <w:sz w:val="20"/>
          <w:szCs w:val="20"/>
        </w:rPr>
        <w:t xml:space="preserve"> e confronto con le previsioni dei trimestri precedenti. Percentuali di giudizi di aumento, stabilità, diminuzione e saldo per produzione, fatturato e nuovi ordinativi. Previsioni raccolte nel </w:t>
      </w:r>
      <w:r w:rsidR="00CC606F" w:rsidRPr="00B477FC">
        <w:rPr>
          <w:rFonts w:ascii="Calibri" w:eastAsia="Calibri" w:hAnsi="Calibri" w:cs="Calibri"/>
          <w:color w:val="000000"/>
          <w:sz w:val="20"/>
          <w:szCs w:val="20"/>
        </w:rPr>
        <w:t>4</w:t>
      </w:r>
      <w:r w:rsidRPr="00B477FC">
        <w:rPr>
          <w:rFonts w:ascii="Calibri" w:eastAsia="Calibri" w:hAnsi="Calibri" w:cs="Calibri"/>
          <w:color w:val="000000"/>
          <w:sz w:val="20"/>
          <w:szCs w:val="20"/>
        </w:rPr>
        <w:t>° trimestre 202</w:t>
      </w:r>
    </w:p>
    <w:tbl>
      <w:tblPr>
        <w:tblStyle w:val="afff2"/>
        <w:tblpPr w:leftFromText="141" w:rightFromText="141" w:vertAnchor="text" w:tblpY="111"/>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5"/>
      </w:tblGrid>
      <w:tr w:rsidR="00216ECF" w:rsidRPr="00750E48" w14:paraId="7096E81B" w14:textId="77777777" w:rsidTr="00097867">
        <w:tc>
          <w:tcPr>
            <w:tcW w:w="8505" w:type="dxa"/>
          </w:tcPr>
          <w:p w14:paraId="35AC3DA9" w14:textId="2ABD5170" w:rsidR="00216ECF" w:rsidRPr="00CC606F" w:rsidRDefault="00216ECF" w:rsidP="00097867">
            <w:pPr>
              <w:pStyle w:val="Titolo1"/>
              <w:rPr>
                <w:color w:val="00B0F0"/>
                <w:sz w:val="18"/>
                <w:szCs w:val="18"/>
              </w:rPr>
            </w:pPr>
            <w:r w:rsidRPr="00CC606F">
              <w:rPr>
                <w:sz w:val="18"/>
                <w:szCs w:val="18"/>
              </w:rPr>
              <w:lastRenderedPageBreak/>
              <w:t xml:space="preserve">Tab. 1 – </w:t>
            </w:r>
            <w:r>
              <w:rPr>
                <w:color w:val="00B0F0"/>
                <w:sz w:val="18"/>
                <w:szCs w:val="18"/>
              </w:rPr>
              <w:t>VENETO</w:t>
            </w:r>
            <w:r w:rsidRPr="00CC606F">
              <w:rPr>
                <w:color w:val="00B0F0"/>
                <w:sz w:val="18"/>
                <w:szCs w:val="18"/>
              </w:rPr>
              <w:t>: andamento dei principali indicatori.</w:t>
            </w:r>
          </w:p>
          <w:p w14:paraId="2BC646CD" w14:textId="77777777" w:rsidR="00216ECF" w:rsidRPr="00750E48" w:rsidRDefault="00216ECF" w:rsidP="00097867">
            <w:pPr>
              <w:pStyle w:val="Titolo1"/>
              <w:spacing w:before="60"/>
              <w:rPr>
                <w:sz w:val="16"/>
                <w:szCs w:val="16"/>
                <w:highlight w:val="yellow"/>
              </w:rPr>
            </w:pPr>
            <w:r w:rsidRPr="00CC606F">
              <w:rPr>
                <w:sz w:val="18"/>
                <w:szCs w:val="18"/>
              </w:rPr>
              <w:t>Produzione, fatturato, nuovi ordinativi (variazioni % trimestrali congiunturali e tendenziali), capacità produttiva e portafoglio ordini.</w:t>
            </w:r>
            <w:r w:rsidRPr="00CC606F">
              <w:rPr>
                <w:b w:val="0"/>
                <w:sz w:val="18"/>
                <w:szCs w:val="18"/>
              </w:rPr>
              <w:t xml:space="preserve"> 1° trim. 2022 - 4° trim. 2025</w:t>
            </w:r>
          </w:p>
        </w:tc>
      </w:tr>
      <w:tr w:rsidR="00216ECF" w:rsidRPr="00750E48" w14:paraId="60774113" w14:textId="77777777" w:rsidTr="00097867">
        <w:tc>
          <w:tcPr>
            <w:tcW w:w="8505" w:type="dxa"/>
          </w:tcPr>
          <w:p w14:paraId="68535881" w14:textId="77777777" w:rsidR="00216ECF" w:rsidRPr="00750E48" w:rsidRDefault="00216ECF" w:rsidP="00097867">
            <w:pPr>
              <w:rPr>
                <w:rFonts w:ascii="Arial" w:eastAsia="Arial" w:hAnsi="Arial" w:cs="Arial"/>
                <w:b/>
                <w:sz w:val="20"/>
                <w:szCs w:val="20"/>
                <w:highlight w:val="yellow"/>
              </w:rPr>
            </w:pPr>
          </w:p>
        </w:tc>
      </w:tr>
      <w:tr w:rsidR="00216ECF" w:rsidRPr="00750E48" w14:paraId="7FD57589" w14:textId="77777777" w:rsidTr="00097867">
        <w:tc>
          <w:tcPr>
            <w:tcW w:w="8505" w:type="dxa"/>
          </w:tcPr>
          <w:p w14:paraId="2E07E47E" w14:textId="1B61FFFD" w:rsidR="00216ECF" w:rsidRPr="00750E48" w:rsidRDefault="00216ECF" w:rsidP="00097867">
            <w:pPr>
              <w:tabs>
                <w:tab w:val="left" w:pos="3480"/>
                <w:tab w:val="center" w:pos="4002"/>
              </w:tabs>
              <w:spacing w:before="40"/>
              <w:jc w:val="center"/>
              <w:rPr>
                <w:rFonts w:ascii="Arial" w:eastAsia="Arial" w:hAnsi="Arial" w:cs="Arial"/>
                <w:b/>
                <w:color w:val="943634"/>
                <w:sz w:val="20"/>
                <w:szCs w:val="20"/>
                <w:highlight w:val="yellow"/>
              </w:rPr>
            </w:pPr>
            <w:r w:rsidRPr="00216ECF">
              <w:rPr>
                <w:rFonts w:ascii="Arial" w:eastAsia="Arial" w:hAnsi="Arial" w:cs="Arial"/>
                <w:b/>
                <w:noProof/>
                <w:color w:val="943634"/>
                <w:sz w:val="20"/>
                <w:szCs w:val="20"/>
              </w:rPr>
              <w:drawing>
                <wp:inline distT="0" distB="0" distL="0" distR="0" wp14:anchorId="48274373" wp14:editId="5709507F">
                  <wp:extent cx="5260975" cy="3117215"/>
                  <wp:effectExtent l="0" t="0" r="0" b="0"/>
                  <wp:docPr id="163745543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0975" cy="3117215"/>
                          </a:xfrm>
                          <a:prstGeom prst="rect">
                            <a:avLst/>
                          </a:prstGeom>
                          <a:noFill/>
                          <a:ln>
                            <a:noFill/>
                          </a:ln>
                        </pic:spPr>
                      </pic:pic>
                    </a:graphicData>
                  </a:graphic>
                </wp:inline>
              </w:drawing>
            </w:r>
          </w:p>
        </w:tc>
      </w:tr>
      <w:tr w:rsidR="00216ECF" w:rsidRPr="00750E48" w14:paraId="2EF44658" w14:textId="77777777" w:rsidTr="00097867">
        <w:tc>
          <w:tcPr>
            <w:tcW w:w="8505" w:type="dxa"/>
          </w:tcPr>
          <w:p w14:paraId="6763C3CD" w14:textId="3010A72B" w:rsidR="00216ECF" w:rsidRPr="00CC606F" w:rsidRDefault="00216ECF" w:rsidP="00216ECF">
            <w:pPr>
              <w:pStyle w:val="Titolo1"/>
              <w:rPr>
                <w:color w:val="00B0F0"/>
                <w:sz w:val="18"/>
                <w:szCs w:val="18"/>
              </w:rPr>
            </w:pPr>
            <w:r w:rsidRPr="00CC606F">
              <w:rPr>
                <w:sz w:val="18"/>
                <w:szCs w:val="18"/>
              </w:rPr>
              <w:t>Tab.</w:t>
            </w:r>
            <w:r>
              <w:rPr>
                <w:sz w:val="18"/>
                <w:szCs w:val="18"/>
              </w:rPr>
              <w:t>2</w:t>
            </w:r>
            <w:r w:rsidRPr="00CC606F">
              <w:rPr>
                <w:sz w:val="18"/>
                <w:szCs w:val="18"/>
              </w:rPr>
              <w:t xml:space="preserve"> - </w:t>
            </w:r>
            <w:r>
              <w:rPr>
                <w:color w:val="00B0F0"/>
                <w:sz w:val="18"/>
                <w:szCs w:val="18"/>
              </w:rPr>
              <w:t>VENETO</w:t>
            </w:r>
            <w:r w:rsidRPr="00CC606F">
              <w:rPr>
                <w:color w:val="00B0F0"/>
                <w:sz w:val="18"/>
                <w:szCs w:val="18"/>
              </w:rPr>
              <w:t>: previsioni per il 1° trimestre 2026.</w:t>
            </w:r>
          </w:p>
          <w:p w14:paraId="3B0AF8B7" w14:textId="3FB1EB52" w:rsidR="00216ECF" w:rsidRPr="00216ECF" w:rsidRDefault="00216ECF" w:rsidP="00216ECF">
            <w:pPr>
              <w:tabs>
                <w:tab w:val="left" w:pos="3256"/>
              </w:tabs>
              <w:spacing w:before="40"/>
              <w:rPr>
                <w:rFonts w:ascii="Arial" w:eastAsia="Arial" w:hAnsi="Arial" w:cs="Arial"/>
                <w:b/>
                <w:bCs/>
                <w:color w:val="00B0F0"/>
                <w:sz w:val="18"/>
                <w:szCs w:val="18"/>
                <w:highlight w:val="yellow"/>
              </w:rPr>
            </w:pPr>
            <w:r w:rsidRPr="00216ECF">
              <w:rPr>
                <w:rFonts w:ascii="Arial" w:hAnsi="Arial" w:cs="Arial"/>
                <w:b/>
                <w:bCs/>
                <w:sz w:val="18"/>
                <w:szCs w:val="18"/>
              </w:rPr>
              <w:t xml:space="preserve">Percentuale di giudizi di aumento, stabilità, diminuzione e saldo (calcolato come differenza tra percentuale di aumento e percentuale di diminuzione) per produzione, fatturato e nuovi ordinativi. </w:t>
            </w:r>
            <w:r w:rsidRPr="00216ECF">
              <w:rPr>
                <w:rFonts w:ascii="Arial" w:hAnsi="Arial" w:cs="Arial"/>
                <w:sz w:val="18"/>
                <w:szCs w:val="18"/>
              </w:rPr>
              <w:t>Previsioni raccolte nel 4° trimestre 2025</w:t>
            </w:r>
          </w:p>
        </w:tc>
      </w:tr>
      <w:tr w:rsidR="00216ECF" w:rsidRPr="00750E48" w14:paraId="3E7EC83F" w14:textId="77777777" w:rsidTr="00097867">
        <w:tc>
          <w:tcPr>
            <w:tcW w:w="8505" w:type="dxa"/>
          </w:tcPr>
          <w:p w14:paraId="6C3B6AD8" w14:textId="4E4B7573" w:rsidR="00216ECF" w:rsidRPr="00750E48" w:rsidRDefault="00216ECF" w:rsidP="00097867">
            <w:pPr>
              <w:tabs>
                <w:tab w:val="left" w:pos="3480"/>
                <w:tab w:val="center" w:pos="4002"/>
              </w:tabs>
              <w:spacing w:before="40"/>
              <w:jc w:val="center"/>
              <w:rPr>
                <w:rFonts w:ascii="Arial" w:eastAsia="Arial" w:hAnsi="Arial" w:cs="Arial"/>
                <w:b/>
                <w:color w:val="943634"/>
                <w:sz w:val="20"/>
                <w:szCs w:val="20"/>
                <w:highlight w:val="yellow"/>
              </w:rPr>
            </w:pPr>
          </w:p>
        </w:tc>
      </w:tr>
      <w:tr w:rsidR="00216ECF" w:rsidRPr="00750E48" w14:paraId="1B1FE81C" w14:textId="77777777" w:rsidTr="00097867">
        <w:tc>
          <w:tcPr>
            <w:tcW w:w="8505" w:type="dxa"/>
          </w:tcPr>
          <w:p w14:paraId="5048FD07" w14:textId="6EE47AFE" w:rsidR="00216ECF" w:rsidRPr="00CC606F" w:rsidRDefault="008E0ED9" w:rsidP="00216ECF">
            <w:pPr>
              <w:spacing w:before="40"/>
              <w:jc w:val="center"/>
              <w:rPr>
                <w:rFonts w:ascii="Arial" w:eastAsia="Arial" w:hAnsi="Arial" w:cs="Arial"/>
                <w:color w:val="943634"/>
                <w:sz w:val="20"/>
                <w:szCs w:val="20"/>
              </w:rPr>
            </w:pPr>
            <w:r>
              <w:rPr>
                <w:rFonts w:ascii="Arial" w:eastAsia="Arial" w:hAnsi="Arial" w:cs="Arial"/>
                <w:noProof/>
                <w:color w:val="943634"/>
                <w:sz w:val="20"/>
                <w:szCs w:val="20"/>
              </w:rPr>
              <w:drawing>
                <wp:inline distT="0" distB="0" distL="0" distR="0" wp14:anchorId="01D7D438" wp14:editId="46D1266B">
                  <wp:extent cx="3324225" cy="2328254"/>
                  <wp:effectExtent l="0" t="0" r="0" b="0"/>
                  <wp:docPr id="9016612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8401" cy="2338182"/>
                          </a:xfrm>
                          <a:prstGeom prst="rect">
                            <a:avLst/>
                          </a:prstGeom>
                          <a:noFill/>
                        </pic:spPr>
                      </pic:pic>
                    </a:graphicData>
                  </a:graphic>
                </wp:inline>
              </w:drawing>
            </w:r>
          </w:p>
        </w:tc>
      </w:tr>
      <w:tr w:rsidR="00216ECF" w:rsidRPr="00750E48" w14:paraId="214E7A8D" w14:textId="77777777" w:rsidTr="00097867">
        <w:tc>
          <w:tcPr>
            <w:tcW w:w="8505" w:type="dxa"/>
          </w:tcPr>
          <w:p w14:paraId="4586733B" w14:textId="4C47EFEA" w:rsidR="00216ECF" w:rsidRPr="00CC606F" w:rsidRDefault="00216ECF" w:rsidP="00216ECF">
            <w:pPr>
              <w:spacing w:before="40" w:after="120"/>
              <w:rPr>
                <w:rFonts w:ascii="Arial" w:eastAsia="Arial" w:hAnsi="Arial" w:cs="Arial"/>
                <w:i/>
                <w:sz w:val="14"/>
                <w:szCs w:val="14"/>
              </w:rPr>
            </w:pPr>
            <w:r w:rsidRPr="00CC606F">
              <w:rPr>
                <w:rFonts w:ascii="Arial" w:eastAsia="Arial" w:hAnsi="Arial" w:cs="Arial"/>
                <w:sz w:val="14"/>
                <w:szCs w:val="14"/>
              </w:rPr>
              <w:t xml:space="preserve">Per il quarto trimestre 2025, indagine su un campione di </w:t>
            </w:r>
            <w:r w:rsidRPr="00216ECF">
              <w:rPr>
                <w:rFonts w:ascii="Arial" w:eastAsia="Arial" w:hAnsi="Arial" w:cs="Arial"/>
                <w:sz w:val="14"/>
                <w:szCs w:val="14"/>
              </w:rPr>
              <w:t>1.994 imprese manifatturiere del Veneto con almeno 10 addetti (per un totale di 122.863 addetti</w:t>
            </w:r>
            <w:r w:rsidRPr="00CC606F">
              <w:rPr>
                <w:rFonts w:ascii="Arial" w:eastAsia="Arial" w:hAnsi="Arial" w:cs="Arial"/>
                <w:sz w:val="14"/>
                <w:szCs w:val="14"/>
              </w:rPr>
              <w:t>.</w:t>
            </w:r>
          </w:p>
          <w:p w14:paraId="25C8BEDA" w14:textId="51FF8921" w:rsidR="00216ECF" w:rsidRPr="00216ECF" w:rsidRDefault="00216ECF" w:rsidP="00216ECF">
            <w:pPr>
              <w:spacing w:before="40"/>
              <w:rPr>
                <w:rFonts w:ascii="Arial" w:eastAsia="Arial" w:hAnsi="Arial" w:cs="Arial"/>
                <w:noProof/>
                <w:color w:val="943634"/>
                <w:sz w:val="20"/>
                <w:szCs w:val="20"/>
              </w:rPr>
            </w:pPr>
            <w:r w:rsidRPr="00CC606F">
              <w:rPr>
                <w:rFonts w:ascii="Arial" w:eastAsia="Arial" w:hAnsi="Arial" w:cs="Arial"/>
                <w:i/>
                <w:sz w:val="14"/>
                <w:szCs w:val="14"/>
              </w:rPr>
              <w:t>Fonte:</w:t>
            </w:r>
            <w:r>
              <w:rPr>
                <w:rFonts w:ascii="Arial" w:eastAsia="Arial" w:hAnsi="Arial" w:cs="Arial"/>
                <w:i/>
                <w:sz w:val="14"/>
                <w:szCs w:val="14"/>
              </w:rPr>
              <w:t xml:space="preserve"> </w:t>
            </w:r>
            <w:r w:rsidRPr="00CC606F">
              <w:rPr>
                <w:rFonts w:ascii="Arial" w:eastAsia="Arial" w:hAnsi="Arial" w:cs="Arial"/>
                <w:i/>
                <w:sz w:val="14"/>
                <w:szCs w:val="14"/>
              </w:rPr>
              <w:t>Unioncamere del Veneto - Indagine VenetoCongiuntura</w:t>
            </w:r>
          </w:p>
        </w:tc>
      </w:tr>
    </w:tbl>
    <w:p w14:paraId="6F3A967D" w14:textId="5AC04664" w:rsidR="00216ECF" w:rsidRPr="00750E48" w:rsidRDefault="00216ECF" w:rsidP="00261F05">
      <w:pPr>
        <w:rPr>
          <w:rFonts w:eastAsia="Calibri" w:cs="Calibri"/>
          <w:highlight w:val="yellow"/>
        </w:rPr>
      </w:pPr>
      <w:r>
        <w:rPr>
          <w:rFonts w:eastAsia="Calibri" w:cs="Calibri"/>
          <w:highlight w:val="yellow"/>
        </w:rPr>
        <w:br w:type="page"/>
      </w:r>
    </w:p>
    <w:tbl>
      <w:tblPr>
        <w:tblStyle w:val="afff2"/>
        <w:tblpPr w:leftFromText="141" w:rightFromText="141" w:vertAnchor="text" w:tblpY="111"/>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5"/>
      </w:tblGrid>
      <w:tr w:rsidR="008973A3" w:rsidRPr="00750E48" w14:paraId="782058EA" w14:textId="77777777">
        <w:tc>
          <w:tcPr>
            <w:tcW w:w="8505" w:type="dxa"/>
          </w:tcPr>
          <w:p w14:paraId="54A882EA" w14:textId="308C7EAE" w:rsidR="008973A3" w:rsidRPr="00CC606F" w:rsidRDefault="007F7710">
            <w:pPr>
              <w:pStyle w:val="Titolo1"/>
              <w:rPr>
                <w:color w:val="00B0F0"/>
                <w:sz w:val="18"/>
                <w:szCs w:val="18"/>
              </w:rPr>
            </w:pPr>
            <w:bookmarkStart w:id="5" w:name="_heading=h.8n7rr6h6tmsb" w:colFirst="0" w:colLast="0"/>
            <w:bookmarkEnd w:id="5"/>
            <w:r w:rsidRPr="00CC606F">
              <w:rPr>
                <w:sz w:val="18"/>
                <w:szCs w:val="18"/>
              </w:rPr>
              <w:lastRenderedPageBreak/>
              <w:t xml:space="preserve">Tab. </w:t>
            </w:r>
            <w:r w:rsidR="00891549">
              <w:rPr>
                <w:sz w:val="18"/>
                <w:szCs w:val="18"/>
              </w:rPr>
              <w:t>3</w:t>
            </w:r>
            <w:r w:rsidRPr="00CC606F">
              <w:rPr>
                <w:sz w:val="18"/>
                <w:szCs w:val="18"/>
              </w:rPr>
              <w:t xml:space="preserve"> – </w:t>
            </w:r>
            <w:r w:rsidRPr="00CC606F">
              <w:rPr>
                <w:color w:val="00B0F0"/>
                <w:sz w:val="18"/>
                <w:szCs w:val="18"/>
              </w:rPr>
              <w:t>Province di Treviso e di Belluno: andamento dei principali indicatori.</w:t>
            </w:r>
          </w:p>
          <w:p w14:paraId="5FB32F09" w14:textId="1093BED5" w:rsidR="008973A3" w:rsidRPr="00750E48" w:rsidRDefault="007F7710">
            <w:pPr>
              <w:pStyle w:val="Titolo1"/>
              <w:spacing w:before="60"/>
              <w:rPr>
                <w:sz w:val="16"/>
                <w:szCs w:val="16"/>
                <w:highlight w:val="yellow"/>
              </w:rPr>
            </w:pPr>
            <w:r w:rsidRPr="00CC606F">
              <w:rPr>
                <w:sz w:val="18"/>
                <w:szCs w:val="18"/>
              </w:rPr>
              <w:t>Produzione, fatturato, nuovi ordinativi (variazioni % trimestrali congiunturali e tendenziali), capacità produttiva e portafoglio ordini.</w:t>
            </w:r>
            <w:r w:rsidRPr="00CC606F">
              <w:rPr>
                <w:b w:val="0"/>
                <w:sz w:val="18"/>
                <w:szCs w:val="18"/>
              </w:rPr>
              <w:t xml:space="preserve"> 1° trim. 2022 - </w:t>
            </w:r>
            <w:r w:rsidR="00CC606F" w:rsidRPr="00CC606F">
              <w:rPr>
                <w:b w:val="0"/>
                <w:sz w:val="18"/>
                <w:szCs w:val="18"/>
              </w:rPr>
              <w:t>4</w:t>
            </w:r>
            <w:r w:rsidRPr="00CC606F">
              <w:rPr>
                <w:b w:val="0"/>
                <w:sz w:val="18"/>
                <w:szCs w:val="18"/>
              </w:rPr>
              <w:t>° trim. 2025</w:t>
            </w:r>
          </w:p>
        </w:tc>
      </w:tr>
      <w:tr w:rsidR="008973A3" w:rsidRPr="00750E48" w14:paraId="74DC177D" w14:textId="77777777">
        <w:tc>
          <w:tcPr>
            <w:tcW w:w="8505" w:type="dxa"/>
          </w:tcPr>
          <w:p w14:paraId="0BFFF163" w14:textId="77777777" w:rsidR="008973A3" w:rsidRPr="00750E48" w:rsidRDefault="008973A3">
            <w:pPr>
              <w:rPr>
                <w:rFonts w:ascii="Arial" w:eastAsia="Arial" w:hAnsi="Arial" w:cs="Arial"/>
                <w:b/>
                <w:sz w:val="20"/>
                <w:szCs w:val="20"/>
                <w:highlight w:val="yellow"/>
              </w:rPr>
            </w:pPr>
          </w:p>
        </w:tc>
      </w:tr>
      <w:tr w:rsidR="008973A3" w:rsidRPr="00750E48" w14:paraId="0E5C6312" w14:textId="77777777">
        <w:tc>
          <w:tcPr>
            <w:tcW w:w="8505" w:type="dxa"/>
          </w:tcPr>
          <w:p w14:paraId="3A7DFCEA" w14:textId="77777777" w:rsidR="008973A3" w:rsidRPr="00750E48" w:rsidRDefault="007F7710">
            <w:pPr>
              <w:tabs>
                <w:tab w:val="left" w:pos="3256"/>
              </w:tabs>
              <w:spacing w:before="40"/>
              <w:jc w:val="center"/>
              <w:rPr>
                <w:rFonts w:ascii="Arial" w:eastAsia="Arial" w:hAnsi="Arial" w:cs="Arial"/>
                <w:b/>
                <w:color w:val="00B0F0"/>
                <w:sz w:val="16"/>
                <w:szCs w:val="16"/>
                <w:highlight w:val="yellow"/>
              </w:rPr>
            </w:pPr>
            <w:r w:rsidRPr="00D907E7">
              <w:rPr>
                <w:rFonts w:ascii="Arial" w:eastAsia="Arial" w:hAnsi="Arial" w:cs="Arial"/>
                <w:b/>
                <w:color w:val="00B0F0"/>
                <w:sz w:val="16"/>
                <w:szCs w:val="16"/>
              </w:rPr>
              <w:t>Provincia di Treviso</w:t>
            </w:r>
          </w:p>
        </w:tc>
      </w:tr>
      <w:tr w:rsidR="008973A3" w:rsidRPr="00750E48" w14:paraId="1075DF1F" w14:textId="77777777">
        <w:tc>
          <w:tcPr>
            <w:tcW w:w="8505" w:type="dxa"/>
          </w:tcPr>
          <w:p w14:paraId="095156A6" w14:textId="7D151655" w:rsidR="008973A3" w:rsidRPr="00750E48" w:rsidRDefault="00D907E7">
            <w:pPr>
              <w:tabs>
                <w:tab w:val="left" w:pos="3480"/>
                <w:tab w:val="center" w:pos="4002"/>
              </w:tabs>
              <w:spacing w:before="40"/>
              <w:jc w:val="center"/>
              <w:rPr>
                <w:rFonts w:ascii="Arial" w:eastAsia="Arial" w:hAnsi="Arial" w:cs="Arial"/>
                <w:b/>
                <w:color w:val="943634"/>
                <w:sz w:val="20"/>
                <w:szCs w:val="20"/>
                <w:highlight w:val="yellow"/>
              </w:rPr>
            </w:pPr>
            <w:r w:rsidRPr="00D907E7">
              <w:rPr>
                <w:rFonts w:ascii="Arial" w:eastAsia="Arial" w:hAnsi="Arial" w:cs="Arial"/>
                <w:b/>
                <w:noProof/>
                <w:color w:val="943634"/>
                <w:sz w:val="20"/>
                <w:szCs w:val="20"/>
              </w:rPr>
              <w:drawing>
                <wp:inline distT="0" distB="0" distL="0" distR="0" wp14:anchorId="68420394" wp14:editId="474C56C6">
                  <wp:extent cx="5017325" cy="2972848"/>
                  <wp:effectExtent l="0" t="0" r="0" b="0"/>
                  <wp:docPr id="145038209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3317" cy="2976398"/>
                          </a:xfrm>
                          <a:prstGeom prst="rect">
                            <a:avLst/>
                          </a:prstGeom>
                          <a:noFill/>
                          <a:ln>
                            <a:noFill/>
                          </a:ln>
                        </pic:spPr>
                      </pic:pic>
                    </a:graphicData>
                  </a:graphic>
                </wp:inline>
              </w:drawing>
            </w:r>
          </w:p>
        </w:tc>
      </w:tr>
      <w:tr w:rsidR="008973A3" w:rsidRPr="00750E48" w14:paraId="57648B71" w14:textId="77777777">
        <w:tc>
          <w:tcPr>
            <w:tcW w:w="8505" w:type="dxa"/>
          </w:tcPr>
          <w:p w14:paraId="14FD6050" w14:textId="77777777" w:rsidR="008973A3" w:rsidRPr="00750E48" w:rsidRDefault="007F7710">
            <w:pPr>
              <w:tabs>
                <w:tab w:val="left" w:pos="3256"/>
              </w:tabs>
              <w:spacing w:before="40"/>
              <w:jc w:val="center"/>
              <w:rPr>
                <w:rFonts w:ascii="Arial" w:eastAsia="Arial" w:hAnsi="Arial" w:cs="Arial"/>
                <w:b/>
                <w:color w:val="00B0F0"/>
                <w:sz w:val="16"/>
                <w:szCs w:val="16"/>
                <w:highlight w:val="yellow"/>
              </w:rPr>
            </w:pPr>
            <w:r w:rsidRPr="00D907E7">
              <w:rPr>
                <w:rFonts w:ascii="Arial" w:eastAsia="Arial" w:hAnsi="Arial" w:cs="Arial"/>
                <w:b/>
                <w:color w:val="00B0F0"/>
                <w:sz w:val="16"/>
                <w:szCs w:val="16"/>
              </w:rPr>
              <w:t>Provincia di Belluno*</w:t>
            </w:r>
          </w:p>
        </w:tc>
      </w:tr>
      <w:tr w:rsidR="008973A3" w:rsidRPr="00750E48" w14:paraId="70C1CAA8" w14:textId="77777777">
        <w:tc>
          <w:tcPr>
            <w:tcW w:w="8505" w:type="dxa"/>
          </w:tcPr>
          <w:p w14:paraId="47465899" w14:textId="20503E68" w:rsidR="008973A3" w:rsidRPr="00750E48" w:rsidRDefault="00D907E7">
            <w:pPr>
              <w:tabs>
                <w:tab w:val="left" w:pos="3480"/>
                <w:tab w:val="center" w:pos="4002"/>
              </w:tabs>
              <w:spacing w:before="40"/>
              <w:jc w:val="center"/>
              <w:rPr>
                <w:rFonts w:ascii="Arial" w:eastAsia="Arial" w:hAnsi="Arial" w:cs="Arial"/>
                <w:b/>
                <w:color w:val="943634"/>
                <w:sz w:val="20"/>
                <w:szCs w:val="20"/>
                <w:highlight w:val="yellow"/>
              </w:rPr>
            </w:pPr>
            <w:r w:rsidRPr="00D907E7">
              <w:rPr>
                <w:rFonts w:ascii="Arial" w:eastAsia="Arial" w:hAnsi="Arial" w:cs="Arial"/>
                <w:b/>
                <w:noProof/>
                <w:color w:val="943634"/>
                <w:sz w:val="20"/>
                <w:szCs w:val="20"/>
              </w:rPr>
              <w:drawing>
                <wp:inline distT="0" distB="0" distL="0" distR="0" wp14:anchorId="1E768029" wp14:editId="100A2198">
                  <wp:extent cx="5124203" cy="2880315"/>
                  <wp:effectExtent l="0" t="0" r="635" b="0"/>
                  <wp:docPr id="26706895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1016" cy="2884145"/>
                          </a:xfrm>
                          <a:prstGeom prst="rect">
                            <a:avLst/>
                          </a:prstGeom>
                          <a:noFill/>
                          <a:ln>
                            <a:noFill/>
                          </a:ln>
                        </pic:spPr>
                      </pic:pic>
                    </a:graphicData>
                  </a:graphic>
                </wp:inline>
              </w:drawing>
            </w:r>
          </w:p>
        </w:tc>
      </w:tr>
      <w:tr w:rsidR="008973A3" w:rsidRPr="00750E48" w14:paraId="7CA66FB1" w14:textId="77777777">
        <w:tc>
          <w:tcPr>
            <w:tcW w:w="8505" w:type="dxa"/>
          </w:tcPr>
          <w:p w14:paraId="55889082" w14:textId="77777777" w:rsidR="008973A3" w:rsidRPr="00CC606F" w:rsidRDefault="007F7710">
            <w:pPr>
              <w:spacing w:before="40" w:after="120"/>
              <w:rPr>
                <w:rFonts w:ascii="Arial" w:eastAsia="Arial" w:hAnsi="Arial" w:cs="Arial"/>
                <w:sz w:val="14"/>
                <w:szCs w:val="14"/>
              </w:rPr>
            </w:pPr>
            <w:r w:rsidRPr="00CC606F">
              <w:rPr>
                <w:rFonts w:ascii="Arial" w:eastAsia="Arial" w:hAnsi="Arial" w:cs="Arial"/>
                <w:sz w:val="14"/>
                <w:szCs w:val="14"/>
              </w:rPr>
              <w:t>(*) Per Belluno le variazioni sono amplificate dalla ridotta numerosità campionaria.</w:t>
            </w:r>
          </w:p>
          <w:p w14:paraId="731CA044" w14:textId="77777777" w:rsidR="008973A3" w:rsidRPr="00CC606F" w:rsidRDefault="008973A3">
            <w:pPr>
              <w:spacing w:before="120"/>
              <w:rPr>
                <w:rFonts w:ascii="Arial" w:eastAsia="Arial" w:hAnsi="Arial" w:cs="Arial"/>
                <w:sz w:val="16"/>
                <w:szCs w:val="16"/>
              </w:rPr>
            </w:pPr>
          </w:p>
          <w:p w14:paraId="2C3D5720" w14:textId="4CCBB40F" w:rsidR="008973A3" w:rsidRPr="00CC606F" w:rsidRDefault="007F7710">
            <w:pPr>
              <w:spacing w:before="40" w:after="120"/>
              <w:rPr>
                <w:rFonts w:ascii="Arial" w:eastAsia="Arial" w:hAnsi="Arial" w:cs="Arial"/>
                <w:i/>
                <w:sz w:val="14"/>
                <w:szCs w:val="14"/>
              </w:rPr>
            </w:pPr>
            <w:r w:rsidRPr="00CC606F">
              <w:rPr>
                <w:rFonts w:ascii="Arial" w:eastAsia="Arial" w:hAnsi="Arial" w:cs="Arial"/>
                <w:sz w:val="14"/>
                <w:szCs w:val="14"/>
              </w:rPr>
              <w:t xml:space="preserve">Per il </w:t>
            </w:r>
            <w:r w:rsidR="00CC606F" w:rsidRPr="00CC606F">
              <w:rPr>
                <w:rFonts w:ascii="Arial" w:eastAsia="Arial" w:hAnsi="Arial" w:cs="Arial"/>
                <w:sz w:val="14"/>
                <w:szCs w:val="14"/>
              </w:rPr>
              <w:t>quarto</w:t>
            </w:r>
            <w:r w:rsidRPr="00CC606F">
              <w:rPr>
                <w:rFonts w:ascii="Arial" w:eastAsia="Arial" w:hAnsi="Arial" w:cs="Arial"/>
                <w:sz w:val="14"/>
                <w:szCs w:val="14"/>
              </w:rPr>
              <w:t xml:space="preserve"> trimestre 2025, indagine su un campione di </w:t>
            </w:r>
            <w:r w:rsidR="00CC606F" w:rsidRPr="00CC606F">
              <w:rPr>
                <w:rFonts w:ascii="Arial" w:eastAsia="Arial" w:hAnsi="Arial" w:cs="Arial"/>
                <w:sz w:val="14"/>
                <w:szCs w:val="14"/>
              </w:rPr>
              <w:t xml:space="preserve">463 </w:t>
            </w:r>
            <w:r w:rsidRPr="00CC606F">
              <w:rPr>
                <w:rFonts w:ascii="Arial" w:eastAsia="Arial" w:hAnsi="Arial" w:cs="Arial"/>
                <w:sz w:val="14"/>
                <w:szCs w:val="14"/>
              </w:rPr>
              <w:t xml:space="preserve">imprese della provincia di Treviso (per un totale di </w:t>
            </w:r>
            <w:r w:rsidR="00CC606F" w:rsidRPr="00CC606F">
              <w:rPr>
                <w:rFonts w:ascii="Arial" w:eastAsia="Arial" w:hAnsi="Arial" w:cs="Arial"/>
                <w:sz w:val="14"/>
                <w:szCs w:val="14"/>
              </w:rPr>
              <w:t xml:space="preserve">30.572 </w:t>
            </w:r>
            <w:r w:rsidRPr="00CC606F">
              <w:rPr>
                <w:rFonts w:ascii="Arial" w:eastAsia="Arial" w:hAnsi="Arial" w:cs="Arial"/>
                <w:sz w:val="14"/>
                <w:szCs w:val="14"/>
              </w:rPr>
              <w:t>addetti) e</w:t>
            </w:r>
            <w:r w:rsidR="00CC606F" w:rsidRPr="00CC606F">
              <w:rPr>
                <w:rFonts w:ascii="Arial" w:eastAsia="Arial" w:hAnsi="Arial" w:cs="Arial"/>
                <w:sz w:val="14"/>
                <w:szCs w:val="14"/>
              </w:rPr>
              <w:t xml:space="preserve"> 74</w:t>
            </w:r>
            <w:r w:rsidRPr="00CC606F">
              <w:rPr>
                <w:rFonts w:ascii="Arial" w:eastAsia="Arial" w:hAnsi="Arial" w:cs="Arial"/>
                <w:sz w:val="14"/>
                <w:szCs w:val="14"/>
              </w:rPr>
              <w:t xml:space="preserve"> imprese della provincia di Belluno con almeno 10 addetti (per un totale di</w:t>
            </w:r>
            <w:r w:rsidR="000131D7" w:rsidRPr="00CC606F">
              <w:rPr>
                <w:rFonts w:ascii="Arial" w:eastAsia="Arial" w:hAnsi="Arial" w:cs="Arial"/>
                <w:sz w:val="14"/>
                <w:szCs w:val="14"/>
              </w:rPr>
              <w:t xml:space="preserve"> </w:t>
            </w:r>
            <w:r w:rsidR="00CC606F" w:rsidRPr="00CC606F">
              <w:rPr>
                <w:rFonts w:ascii="Arial" w:eastAsia="Arial" w:hAnsi="Arial" w:cs="Arial"/>
                <w:sz w:val="14"/>
                <w:szCs w:val="14"/>
              </w:rPr>
              <w:t xml:space="preserve">4.340 </w:t>
            </w:r>
            <w:r w:rsidRPr="00CC606F">
              <w:rPr>
                <w:rFonts w:ascii="Arial" w:eastAsia="Arial" w:hAnsi="Arial" w:cs="Arial"/>
                <w:sz w:val="14"/>
                <w:szCs w:val="14"/>
              </w:rPr>
              <w:t>addetti).</w:t>
            </w:r>
          </w:p>
          <w:p w14:paraId="48443B5E" w14:textId="1E14DD2D" w:rsidR="008973A3" w:rsidRPr="00CC606F" w:rsidRDefault="007F7710">
            <w:pPr>
              <w:spacing w:before="40"/>
              <w:rPr>
                <w:rFonts w:ascii="Arial" w:eastAsia="Arial" w:hAnsi="Arial" w:cs="Arial"/>
                <w:color w:val="943634"/>
                <w:sz w:val="20"/>
                <w:szCs w:val="20"/>
              </w:rPr>
            </w:pPr>
            <w:r w:rsidRPr="00CC606F">
              <w:rPr>
                <w:rFonts w:ascii="Arial" w:eastAsia="Arial" w:hAnsi="Arial" w:cs="Arial"/>
                <w:i/>
                <w:sz w:val="14"/>
                <w:szCs w:val="14"/>
              </w:rPr>
              <w:t>Fonte:</w:t>
            </w:r>
            <w:r w:rsidR="00216ECF">
              <w:rPr>
                <w:rFonts w:ascii="Arial" w:eastAsia="Arial" w:hAnsi="Arial" w:cs="Arial"/>
                <w:i/>
                <w:sz w:val="14"/>
                <w:szCs w:val="14"/>
              </w:rPr>
              <w:t xml:space="preserve"> </w:t>
            </w:r>
            <w:r w:rsidRPr="00CC606F">
              <w:rPr>
                <w:rFonts w:ascii="Arial" w:eastAsia="Arial" w:hAnsi="Arial" w:cs="Arial"/>
                <w:i/>
                <w:sz w:val="14"/>
                <w:szCs w:val="14"/>
              </w:rPr>
              <w:t>Unioncamere del Veneto - Indagine VenetoCongiuntura</w:t>
            </w:r>
          </w:p>
        </w:tc>
      </w:tr>
    </w:tbl>
    <w:p w14:paraId="5B170518" w14:textId="77777777" w:rsidR="000C0542" w:rsidRPr="00750E48" w:rsidRDefault="000C0542">
      <w:pPr>
        <w:rPr>
          <w:rFonts w:ascii="Arial" w:eastAsia="Arial" w:hAnsi="Arial" w:cs="Arial"/>
          <w:b/>
          <w:color w:val="00B0F0"/>
          <w:sz w:val="22"/>
          <w:szCs w:val="22"/>
          <w:highlight w:val="yellow"/>
        </w:rPr>
      </w:pPr>
    </w:p>
    <w:tbl>
      <w:tblPr>
        <w:tblStyle w:val="afff3"/>
        <w:tblpPr w:leftFromText="141" w:rightFromText="141" w:vertAnchor="text" w:tblpY="111"/>
        <w:tblW w:w="878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788"/>
      </w:tblGrid>
      <w:tr w:rsidR="008973A3" w:rsidRPr="00750E48" w14:paraId="1EE1AB6D" w14:textId="77777777">
        <w:tc>
          <w:tcPr>
            <w:tcW w:w="8788" w:type="dxa"/>
          </w:tcPr>
          <w:p w14:paraId="67AF2836" w14:textId="18FAC84B" w:rsidR="008973A3" w:rsidRPr="00CC606F" w:rsidRDefault="007F7710">
            <w:pPr>
              <w:pStyle w:val="Titolo1"/>
              <w:rPr>
                <w:color w:val="00B0F0"/>
                <w:sz w:val="18"/>
                <w:szCs w:val="18"/>
              </w:rPr>
            </w:pPr>
            <w:bookmarkStart w:id="6" w:name="_heading=h.tsshsvnkwmu1" w:colFirst="0" w:colLast="0"/>
            <w:bookmarkEnd w:id="6"/>
            <w:r w:rsidRPr="00CC606F">
              <w:rPr>
                <w:sz w:val="18"/>
                <w:szCs w:val="18"/>
              </w:rPr>
              <w:t xml:space="preserve">Tab. </w:t>
            </w:r>
            <w:r w:rsidR="00891549">
              <w:rPr>
                <w:sz w:val="18"/>
                <w:szCs w:val="18"/>
              </w:rPr>
              <w:t>4</w:t>
            </w:r>
            <w:r w:rsidRPr="00CC606F">
              <w:rPr>
                <w:sz w:val="18"/>
                <w:szCs w:val="18"/>
              </w:rPr>
              <w:t xml:space="preserve"> - </w:t>
            </w:r>
            <w:r w:rsidRPr="00CC606F">
              <w:rPr>
                <w:color w:val="00B0F0"/>
                <w:sz w:val="18"/>
                <w:szCs w:val="18"/>
              </w:rPr>
              <w:t xml:space="preserve">Province di Treviso e di Belluno: previsioni per il </w:t>
            </w:r>
            <w:r w:rsidR="00CC606F" w:rsidRPr="00CC606F">
              <w:rPr>
                <w:color w:val="00B0F0"/>
                <w:sz w:val="18"/>
                <w:szCs w:val="18"/>
              </w:rPr>
              <w:t>1</w:t>
            </w:r>
            <w:r w:rsidRPr="00CC606F">
              <w:rPr>
                <w:color w:val="00B0F0"/>
                <w:sz w:val="18"/>
                <w:szCs w:val="18"/>
              </w:rPr>
              <w:t>° trimestre 202</w:t>
            </w:r>
            <w:r w:rsidR="00CC606F" w:rsidRPr="00CC606F">
              <w:rPr>
                <w:color w:val="00B0F0"/>
                <w:sz w:val="18"/>
                <w:szCs w:val="18"/>
              </w:rPr>
              <w:t>6</w:t>
            </w:r>
            <w:r w:rsidRPr="00CC606F">
              <w:rPr>
                <w:color w:val="00B0F0"/>
                <w:sz w:val="18"/>
                <w:szCs w:val="18"/>
              </w:rPr>
              <w:t>.</w:t>
            </w:r>
          </w:p>
          <w:p w14:paraId="45A67BA1" w14:textId="03E67B59" w:rsidR="008973A3" w:rsidRPr="00CC606F" w:rsidRDefault="007F7710">
            <w:pPr>
              <w:pStyle w:val="Titolo1"/>
              <w:spacing w:before="60"/>
              <w:rPr>
                <w:b w:val="0"/>
                <w:color w:val="943634"/>
                <w:sz w:val="18"/>
                <w:szCs w:val="18"/>
              </w:rPr>
            </w:pPr>
            <w:r w:rsidRPr="00CC606F">
              <w:rPr>
                <w:sz w:val="18"/>
                <w:szCs w:val="18"/>
              </w:rPr>
              <w:t xml:space="preserve">Percentuale di giudizi di aumento, stabilità, diminuzione e saldo (calcolato come differenza tra percentuale di aumento e percentuale di diminuzione) per produzione, fatturato e nuovi ordinativi. </w:t>
            </w:r>
            <w:r w:rsidRPr="00CC606F">
              <w:rPr>
                <w:b w:val="0"/>
                <w:sz w:val="18"/>
                <w:szCs w:val="18"/>
              </w:rPr>
              <w:t xml:space="preserve">Previsioni raccolte nel </w:t>
            </w:r>
            <w:r w:rsidR="00CC606F" w:rsidRPr="00CC606F">
              <w:rPr>
                <w:b w:val="0"/>
                <w:sz w:val="18"/>
                <w:szCs w:val="18"/>
              </w:rPr>
              <w:t>4</w:t>
            </w:r>
            <w:r w:rsidRPr="00CC606F">
              <w:rPr>
                <w:b w:val="0"/>
                <w:sz w:val="18"/>
                <w:szCs w:val="18"/>
              </w:rPr>
              <w:t>° trimestre 2025</w:t>
            </w:r>
          </w:p>
        </w:tc>
      </w:tr>
      <w:tr w:rsidR="008973A3" w:rsidRPr="00750E48" w14:paraId="386518C4" w14:textId="77777777">
        <w:tc>
          <w:tcPr>
            <w:tcW w:w="8788" w:type="dxa"/>
          </w:tcPr>
          <w:p w14:paraId="527A4991" w14:textId="77777777" w:rsidR="008973A3" w:rsidRPr="00750E48" w:rsidRDefault="007F7710">
            <w:pPr>
              <w:tabs>
                <w:tab w:val="left" w:pos="3256"/>
              </w:tabs>
              <w:spacing w:before="40" w:after="120"/>
              <w:jc w:val="center"/>
              <w:rPr>
                <w:rFonts w:ascii="Arial" w:eastAsia="Arial" w:hAnsi="Arial" w:cs="Arial"/>
                <w:b/>
                <w:color w:val="00B0F0"/>
                <w:sz w:val="20"/>
                <w:szCs w:val="20"/>
                <w:highlight w:val="yellow"/>
              </w:rPr>
            </w:pPr>
            <w:r w:rsidRPr="00261F05">
              <w:rPr>
                <w:rFonts w:ascii="Arial" w:eastAsia="Arial" w:hAnsi="Arial" w:cs="Arial"/>
                <w:b/>
                <w:color w:val="00B0F0"/>
                <w:sz w:val="16"/>
                <w:szCs w:val="16"/>
              </w:rPr>
              <w:t>Provincia di Treviso</w:t>
            </w:r>
          </w:p>
        </w:tc>
      </w:tr>
      <w:tr w:rsidR="008973A3" w:rsidRPr="00750E48" w14:paraId="0FC7E69C" w14:textId="77777777">
        <w:tc>
          <w:tcPr>
            <w:tcW w:w="8788" w:type="dxa"/>
          </w:tcPr>
          <w:p w14:paraId="1973EFEC" w14:textId="336DA736" w:rsidR="008973A3" w:rsidRPr="00750E48" w:rsidRDefault="00C47EE3">
            <w:pPr>
              <w:tabs>
                <w:tab w:val="left" w:pos="3480"/>
                <w:tab w:val="center" w:pos="4002"/>
              </w:tabs>
              <w:spacing w:before="40"/>
              <w:jc w:val="center"/>
              <w:rPr>
                <w:rFonts w:ascii="Arial" w:eastAsia="Arial" w:hAnsi="Arial" w:cs="Arial"/>
                <w:b/>
                <w:color w:val="943634"/>
                <w:sz w:val="20"/>
                <w:szCs w:val="20"/>
                <w:highlight w:val="yellow"/>
              </w:rPr>
            </w:pPr>
            <w:r w:rsidRPr="00C47EE3">
              <w:rPr>
                <w:rFonts w:ascii="Arial" w:eastAsia="Arial" w:hAnsi="Arial" w:cs="Arial"/>
                <w:b/>
                <w:noProof/>
                <w:color w:val="943634"/>
                <w:sz w:val="20"/>
                <w:szCs w:val="20"/>
              </w:rPr>
              <w:drawing>
                <wp:inline distT="0" distB="0" distL="0" distR="0" wp14:anchorId="5F6AE4D7" wp14:editId="1DADC510">
                  <wp:extent cx="3806041" cy="2642682"/>
                  <wp:effectExtent l="0" t="0" r="4445" b="5715"/>
                  <wp:docPr id="128433882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7650" cy="2650742"/>
                          </a:xfrm>
                          <a:prstGeom prst="rect">
                            <a:avLst/>
                          </a:prstGeom>
                          <a:noFill/>
                          <a:ln>
                            <a:noFill/>
                          </a:ln>
                        </pic:spPr>
                      </pic:pic>
                    </a:graphicData>
                  </a:graphic>
                </wp:inline>
              </w:drawing>
            </w:r>
          </w:p>
        </w:tc>
      </w:tr>
      <w:tr w:rsidR="008973A3" w:rsidRPr="00750E48" w14:paraId="6859D5C5" w14:textId="77777777">
        <w:tc>
          <w:tcPr>
            <w:tcW w:w="8788" w:type="dxa"/>
          </w:tcPr>
          <w:p w14:paraId="02E6B928" w14:textId="0ABDF035" w:rsidR="008973A3" w:rsidRPr="00750E48" w:rsidRDefault="007F7710">
            <w:pPr>
              <w:tabs>
                <w:tab w:val="left" w:pos="3256"/>
              </w:tabs>
              <w:spacing w:before="120" w:after="120"/>
              <w:jc w:val="center"/>
              <w:rPr>
                <w:rFonts w:ascii="Arial" w:eastAsia="Arial" w:hAnsi="Arial" w:cs="Arial"/>
                <w:b/>
                <w:color w:val="00B0F0"/>
                <w:sz w:val="20"/>
                <w:szCs w:val="20"/>
                <w:highlight w:val="yellow"/>
              </w:rPr>
            </w:pPr>
            <w:r w:rsidRPr="00261F05">
              <w:rPr>
                <w:rFonts w:ascii="Arial" w:eastAsia="Arial" w:hAnsi="Arial" w:cs="Arial"/>
                <w:b/>
                <w:color w:val="00B0F0"/>
                <w:sz w:val="16"/>
                <w:szCs w:val="16"/>
              </w:rPr>
              <w:t>Provincia di Belluno</w:t>
            </w:r>
            <w:r w:rsidR="000131D7" w:rsidRPr="00261F05">
              <w:rPr>
                <w:rFonts w:ascii="Arial" w:eastAsia="Arial" w:hAnsi="Arial" w:cs="Arial"/>
                <w:b/>
                <w:color w:val="00B0F0"/>
                <w:sz w:val="16"/>
                <w:szCs w:val="16"/>
              </w:rPr>
              <w:t>*</w:t>
            </w:r>
          </w:p>
        </w:tc>
      </w:tr>
      <w:tr w:rsidR="008973A3" w:rsidRPr="00750E48" w14:paraId="75325B97" w14:textId="77777777">
        <w:tc>
          <w:tcPr>
            <w:tcW w:w="8788" w:type="dxa"/>
          </w:tcPr>
          <w:p w14:paraId="596AE725" w14:textId="15C6AFEC" w:rsidR="008973A3" w:rsidRPr="00750E48" w:rsidRDefault="00C47EE3">
            <w:pPr>
              <w:tabs>
                <w:tab w:val="left" w:pos="3480"/>
                <w:tab w:val="center" w:pos="4002"/>
              </w:tabs>
              <w:spacing w:before="40"/>
              <w:jc w:val="center"/>
              <w:rPr>
                <w:rFonts w:ascii="Arial" w:eastAsia="Arial" w:hAnsi="Arial" w:cs="Arial"/>
                <w:b/>
                <w:color w:val="943634"/>
                <w:sz w:val="20"/>
                <w:szCs w:val="20"/>
                <w:highlight w:val="yellow"/>
              </w:rPr>
            </w:pPr>
            <w:r w:rsidRPr="00C47EE3">
              <w:rPr>
                <w:rFonts w:ascii="Arial" w:eastAsia="Arial" w:hAnsi="Arial" w:cs="Arial"/>
                <w:b/>
                <w:noProof/>
                <w:color w:val="943634"/>
                <w:sz w:val="20"/>
                <w:szCs w:val="20"/>
              </w:rPr>
              <w:drawing>
                <wp:inline distT="0" distB="0" distL="0" distR="0" wp14:anchorId="7257F597" wp14:editId="4A76EEA1">
                  <wp:extent cx="3841668" cy="2703830"/>
                  <wp:effectExtent l="0" t="0" r="6985" b="1270"/>
                  <wp:docPr id="52622437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3052" cy="2725918"/>
                          </a:xfrm>
                          <a:prstGeom prst="rect">
                            <a:avLst/>
                          </a:prstGeom>
                          <a:noFill/>
                          <a:ln>
                            <a:noFill/>
                          </a:ln>
                        </pic:spPr>
                      </pic:pic>
                    </a:graphicData>
                  </a:graphic>
                </wp:inline>
              </w:drawing>
            </w:r>
          </w:p>
        </w:tc>
      </w:tr>
      <w:tr w:rsidR="00CC606F" w14:paraId="50DA4416" w14:textId="77777777">
        <w:tc>
          <w:tcPr>
            <w:tcW w:w="8788" w:type="dxa"/>
          </w:tcPr>
          <w:p w14:paraId="763A00BF" w14:textId="77777777" w:rsidR="00CC606F" w:rsidRPr="00CC606F" w:rsidRDefault="00CC606F" w:rsidP="00CC606F">
            <w:pPr>
              <w:spacing w:before="40" w:after="120"/>
              <w:rPr>
                <w:rFonts w:ascii="Arial" w:eastAsia="Arial" w:hAnsi="Arial" w:cs="Arial"/>
                <w:sz w:val="14"/>
                <w:szCs w:val="14"/>
              </w:rPr>
            </w:pPr>
            <w:r w:rsidRPr="00CC606F">
              <w:rPr>
                <w:rFonts w:ascii="Arial" w:eastAsia="Arial" w:hAnsi="Arial" w:cs="Arial"/>
                <w:sz w:val="14"/>
                <w:szCs w:val="14"/>
              </w:rPr>
              <w:t>(*) Per Belluno le variazioni sono amplificate dalla ridotta numerosità campionaria.</w:t>
            </w:r>
          </w:p>
          <w:p w14:paraId="2A3B90C1" w14:textId="77777777" w:rsidR="00CC606F" w:rsidRPr="00CC606F" w:rsidRDefault="00CC606F" w:rsidP="00CC606F">
            <w:pPr>
              <w:spacing w:before="120"/>
              <w:rPr>
                <w:rFonts w:ascii="Arial" w:eastAsia="Arial" w:hAnsi="Arial" w:cs="Arial"/>
                <w:sz w:val="16"/>
                <w:szCs w:val="16"/>
              </w:rPr>
            </w:pPr>
          </w:p>
          <w:p w14:paraId="4A2D0F35" w14:textId="77777777" w:rsidR="00CC606F" w:rsidRPr="00CC606F" w:rsidRDefault="00CC606F" w:rsidP="00CC606F">
            <w:pPr>
              <w:spacing w:before="40" w:after="120"/>
              <w:rPr>
                <w:rFonts w:ascii="Arial" w:eastAsia="Arial" w:hAnsi="Arial" w:cs="Arial"/>
                <w:i/>
                <w:sz w:val="14"/>
                <w:szCs w:val="14"/>
              </w:rPr>
            </w:pPr>
            <w:r w:rsidRPr="00CC606F">
              <w:rPr>
                <w:rFonts w:ascii="Arial" w:eastAsia="Arial" w:hAnsi="Arial" w:cs="Arial"/>
                <w:sz w:val="14"/>
                <w:szCs w:val="14"/>
              </w:rPr>
              <w:t>Per il quarto trimestre 2025, indagine su un campione di 463 imprese della provincia di Treviso (per un totale di 30.572 addetti) e 74 imprese della provincia di Belluno con almeno 10 addetti (per un totale di 4.340 addetti).</w:t>
            </w:r>
          </w:p>
          <w:p w14:paraId="6C3F3B7E" w14:textId="3DAD4EF4" w:rsidR="00CC606F" w:rsidRDefault="00CC606F" w:rsidP="00CC606F">
            <w:pPr>
              <w:spacing w:before="40"/>
              <w:rPr>
                <w:rFonts w:ascii="Arial" w:eastAsia="Arial" w:hAnsi="Arial" w:cs="Arial"/>
                <w:color w:val="943634"/>
                <w:sz w:val="20"/>
                <w:szCs w:val="20"/>
              </w:rPr>
            </w:pPr>
            <w:r w:rsidRPr="00CC606F">
              <w:rPr>
                <w:rFonts w:ascii="Arial" w:eastAsia="Arial" w:hAnsi="Arial" w:cs="Arial"/>
                <w:i/>
                <w:sz w:val="14"/>
                <w:szCs w:val="14"/>
              </w:rPr>
              <w:t>Fonte: Elaborazioni Ufficio Studi e Statistica CCIAA Treviso-Belluno su dati Unioncamere del Veneto - Indagine VenetoCongiuntura</w:t>
            </w:r>
          </w:p>
        </w:tc>
      </w:tr>
    </w:tbl>
    <w:p w14:paraId="6072EECF" w14:textId="77777777" w:rsidR="008973A3" w:rsidRDefault="008973A3" w:rsidP="00FF7D8F">
      <w:pPr>
        <w:spacing w:after="200" w:line="276" w:lineRule="auto"/>
        <w:rPr>
          <w:rFonts w:ascii="Calibri" w:eastAsia="Calibri" w:hAnsi="Calibri" w:cs="Calibri"/>
        </w:rPr>
      </w:pPr>
    </w:p>
    <w:sectPr w:rsidR="008973A3">
      <w:headerReference w:type="even" r:id="rId25"/>
      <w:headerReference w:type="default" r:id="rId26"/>
      <w:footerReference w:type="even" r:id="rId27"/>
      <w:footerReference w:type="default" r:id="rId28"/>
      <w:headerReference w:type="first" r:id="rId29"/>
      <w:footerReference w:type="first" r:id="rId30"/>
      <w:pgSz w:w="11906" w:h="16838"/>
      <w:pgMar w:top="2410" w:right="1700" w:bottom="2127" w:left="1701" w:header="0" w:footer="48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D33FF" w14:textId="77777777" w:rsidR="00DE04C6" w:rsidRDefault="00DE04C6">
      <w:r>
        <w:separator/>
      </w:r>
    </w:p>
  </w:endnote>
  <w:endnote w:type="continuationSeparator" w:id="0">
    <w:p w14:paraId="62C5C549" w14:textId="77777777" w:rsidR="00DE04C6" w:rsidRDefault="00DE0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A13EBD3-DFAF-4945-BA34-19B6EA94DCCB}"/>
    <w:embedBold r:id="rId2" w:fontKey="{4056BE5C-8855-4649-8159-AD29BE7771E6}"/>
    <w:embedItalic r:id="rId3" w:fontKey="{F40B5853-892A-467B-A052-AA565DD26FD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4" w:fontKey="{11BC5AB1-808C-404B-889D-C6BFBC99B67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0C95EF91-DF8B-4092-B374-76973207722B}"/>
    <w:embedBold r:id="rId6" w:fontKey="{D166995A-DE51-40BB-AA42-281DA84F74FE}"/>
  </w:font>
  <w:font w:name="Georgia">
    <w:panose1 w:val="02040502050405020303"/>
    <w:charset w:val="00"/>
    <w:family w:val="roman"/>
    <w:pitch w:val="variable"/>
    <w:sig w:usb0="00000287" w:usb1="00000000" w:usb2="00000000" w:usb3="00000000" w:csb0="0000009F" w:csb1="00000000"/>
    <w:embedRegular r:id="rId7" w:fontKey="{34519ED9-D667-43E6-A43D-A6104F24EDD9}"/>
    <w:embedItalic r:id="rId8" w:fontKey="{3B4F95AF-04F1-44D2-A02A-2F1DDDED0AA7}"/>
  </w:font>
  <w:font w:name="Cambria">
    <w:panose1 w:val="02040503050406030204"/>
    <w:charset w:val="00"/>
    <w:family w:val="roman"/>
    <w:pitch w:val="variable"/>
    <w:sig w:usb0="E00006FF" w:usb1="420024FF" w:usb2="02000000" w:usb3="00000000" w:csb0="0000019F" w:csb1="00000000"/>
    <w:embedRegular r:id="rId9" w:fontKey="{E4AEB89B-60FB-485C-BE98-2BDB5C1F5A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758A3" w14:textId="77777777" w:rsidR="008973A3" w:rsidRDefault="008973A3">
    <w:pPr>
      <w:pBdr>
        <w:top w:val="nil"/>
        <w:left w:val="nil"/>
        <w:bottom w:val="nil"/>
        <w:right w:val="nil"/>
        <w:between w:val="nil"/>
      </w:pBdr>
      <w:tabs>
        <w:tab w:val="center" w:pos="4819"/>
        <w:tab w:val="right" w:pos="9638"/>
      </w:tabs>
      <w:rPr>
        <w:color w:val="000000"/>
      </w:rPr>
    </w:pPr>
  </w:p>
  <w:p w14:paraId="46904DF7" w14:textId="77777777" w:rsidR="008973A3" w:rsidRDefault="008973A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1B51C" w14:textId="77777777" w:rsidR="008973A3" w:rsidRDefault="007F7710">
    <w:pPr>
      <w:pBdr>
        <w:top w:val="nil"/>
        <w:left w:val="nil"/>
        <w:bottom w:val="nil"/>
        <w:right w:val="nil"/>
        <w:between w:val="nil"/>
      </w:pBdr>
      <w:tabs>
        <w:tab w:val="center" w:pos="4819"/>
        <w:tab w:val="right" w:pos="9638"/>
        <w:tab w:val="right" w:pos="8931"/>
      </w:tabs>
      <w:jc w:val="right"/>
      <w:rPr>
        <w:rFonts w:ascii="Tahoma" w:eastAsia="Tahoma" w:hAnsi="Tahoma" w:cs="Tahoma"/>
        <w:color w:val="071D49"/>
        <w:sz w:val="16"/>
        <w:szCs w:val="16"/>
      </w:rPr>
    </w:pPr>
    <w:r>
      <w:rPr>
        <w:rFonts w:ascii="Tahoma" w:eastAsia="Tahoma" w:hAnsi="Tahoma" w:cs="Tahoma"/>
        <w:color w:val="071D49"/>
        <w:sz w:val="16"/>
        <w:szCs w:val="16"/>
      </w:rPr>
      <w:t xml:space="preserve">Pag. </w:t>
    </w:r>
    <w:r>
      <w:rPr>
        <w:rFonts w:ascii="Tahoma" w:eastAsia="Tahoma" w:hAnsi="Tahoma" w:cs="Tahoma"/>
        <w:b/>
        <w:color w:val="071D49"/>
        <w:sz w:val="16"/>
        <w:szCs w:val="16"/>
      </w:rPr>
      <w:fldChar w:fldCharType="begin"/>
    </w:r>
    <w:r>
      <w:rPr>
        <w:rFonts w:ascii="Tahoma" w:eastAsia="Tahoma" w:hAnsi="Tahoma" w:cs="Tahoma"/>
        <w:b/>
        <w:color w:val="071D49"/>
        <w:sz w:val="16"/>
        <w:szCs w:val="16"/>
      </w:rPr>
      <w:instrText>PAGE</w:instrText>
    </w:r>
    <w:r>
      <w:rPr>
        <w:rFonts w:ascii="Tahoma" w:eastAsia="Tahoma" w:hAnsi="Tahoma" w:cs="Tahoma"/>
        <w:b/>
        <w:color w:val="071D49"/>
        <w:sz w:val="16"/>
        <w:szCs w:val="16"/>
      </w:rPr>
      <w:fldChar w:fldCharType="separate"/>
    </w:r>
    <w:r w:rsidR="00B7761F">
      <w:rPr>
        <w:rFonts w:ascii="Tahoma" w:eastAsia="Tahoma" w:hAnsi="Tahoma" w:cs="Tahoma"/>
        <w:b/>
        <w:noProof/>
        <w:color w:val="071D49"/>
        <w:sz w:val="16"/>
        <w:szCs w:val="16"/>
      </w:rPr>
      <w:t>2</w:t>
    </w:r>
    <w:r>
      <w:rPr>
        <w:rFonts w:ascii="Tahoma" w:eastAsia="Tahoma" w:hAnsi="Tahoma" w:cs="Tahoma"/>
        <w:b/>
        <w:color w:val="071D49"/>
        <w:sz w:val="16"/>
        <w:szCs w:val="16"/>
      </w:rPr>
      <w:fldChar w:fldCharType="end"/>
    </w:r>
    <w:r>
      <w:rPr>
        <w:rFonts w:ascii="Tahoma" w:eastAsia="Tahoma" w:hAnsi="Tahoma" w:cs="Tahoma"/>
        <w:color w:val="071D49"/>
        <w:sz w:val="16"/>
        <w:szCs w:val="16"/>
      </w:rPr>
      <w:t xml:space="preserve"> di </w:t>
    </w:r>
    <w:r>
      <w:rPr>
        <w:rFonts w:ascii="Tahoma" w:eastAsia="Tahoma" w:hAnsi="Tahoma" w:cs="Tahoma"/>
        <w:b/>
        <w:color w:val="071D49"/>
        <w:sz w:val="16"/>
        <w:szCs w:val="16"/>
      </w:rPr>
      <w:fldChar w:fldCharType="begin"/>
    </w:r>
    <w:r>
      <w:rPr>
        <w:rFonts w:ascii="Tahoma" w:eastAsia="Tahoma" w:hAnsi="Tahoma" w:cs="Tahoma"/>
        <w:b/>
        <w:color w:val="071D49"/>
        <w:sz w:val="16"/>
        <w:szCs w:val="16"/>
      </w:rPr>
      <w:instrText>NUMPAGES</w:instrText>
    </w:r>
    <w:r>
      <w:rPr>
        <w:rFonts w:ascii="Tahoma" w:eastAsia="Tahoma" w:hAnsi="Tahoma" w:cs="Tahoma"/>
        <w:b/>
        <w:color w:val="071D49"/>
        <w:sz w:val="16"/>
        <w:szCs w:val="16"/>
      </w:rPr>
      <w:fldChar w:fldCharType="separate"/>
    </w:r>
    <w:r w:rsidR="00B7761F">
      <w:rPr>
        <w:rFonts w:ascii="Tahoma" w:eastAsia="Tahoma" w:hAnsi="Tahoma" w:cs="Tahoma"/>
        <w:b/>
        <w:noProof/>
        <w:color w:val="071D49"/>
        <w:sz w:val="16"/>
        <w:szCs w:val="16"/>
      </w:rPr>
      <w:t>3</w:t>
    </w:r>
    <w:r>
      <w:rPr>
        <w:rFonts w:ascii="Tahoma" w:eastAsia="Tahoma" w:hAnsi="Tahoma" w:cs="Tahoma"/>
        <w:b/>
        <w:color w:val="071D49"/>
        <w:sz w:val="16"/>
        <w:szCs w:val="16"/>
      </w:rPr>
      <w:fldChar w:fldCharType="end"/>
    </w:r>
  </w:p>
  <w:p w14:paraId="191DBF3A" w14:textId="77777777" w:rsidR="008973A3" w:rsidRDefault="008973A3">
    <w:pPr>
      <w:pBdr>
        <w:top w:val="nil"/>
        <w:left w:val="nil"/>
        <w:bottom w:val="nil"/>
        <w:right w:val="nil"/>
        <w:between w:val="nil"/>
      </w:pBdr>
      <w:tabs>
        <w:tab w:val="center" w:pos="4819"/>
        <w:tab w:val="right" w:pos="9638"/>
      </w:tabs>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047F8" w14:textId="77777777" w:rsidR="008973A3" w:rsidRDefault="008973A3"/>
  <w:tbl>
    <w:tblPr>
      <w:tblStyle w:val="afff4"/>
      <w:tblW w:w="9634" w:type="dxa"/>
      <w:tblInd w:w="0" w:type="dxa"/>
      <w:tblLayout w:type="fixed"/>
      <w:tblLook w:val="0400" w:firstRow="0" w:lastRow="0" w:firstColumn="0" w:lastColumn="0" w:noHBand="0" w:noVBand="1"/>
    </w:tblPr>
    <w:tblGrid>
      <w:gridCol w:w="5663"/>
      <w:gridCol w:w="3971"/>
    </w:tblGrid>
    <w:tr w:rsidR="008973A3" w:rsidRPr="001009BC" w14:paraId="7264B130" w14:textId="77777777" w:rsidTr="00001084">
      <w:trPr>
        <w:trHeight w:val="1276"/>
      </w:trPr>
      <w:tc>
        <w:tcPr>
          <w:tcW w:w="5663" w:type="dxa"/>
        </w:tcPr>
        <w:p w14:paraId="502BD8FB" w14:textId="2241BDD5" w:rsidR="008973A3" w:rsidRPr="00B71AFC" w:rsidRDefault="008973A3" w:rsidP="00001084">
          <w:pPr>
            <w:pBdr>
              <w:top w:val="nil"/>
              <w:left w:val="single" w:sz="12" w:space="4" w:color="00B0F0"/>
              <w:bottom w:val="nil"/>
              <w:right w:val="nil"/>
              <w:between w:val="nil"/>
            </w:pBdr>
            <w:tabs>
              <w:tab w:val="center" w:pos="4819"/>
              <w:tab w:val="right" w:pos="9638"/>
              <w:tab w:val="left" w:pos="7160"/>
              <w:tab w:val="right" w:pos="9848"/>
            </w:tabs>
            <w:rPr>
              <w:lang w:val="en-US"/>
            </w:rPr>
          </w:pPr>
        </w:p>
      </w:tc>
      <w:tc>
        <w:tcPr>
          <w:tcW w:w="3971" w:type="dxa"/>
        </w:tcPr>
        <w:p w14:paraId="3D2FEB5A" w14:textId="4BD066A5" w:rsidR="008973A3" w:rsidRPr="00B71AFC" w:rsidRDefault="008973A3">
          <w:pPr>
            <w:rPr>
              <w:lang w:val="en-US"/>
            </w:rPr>
          </w:pPr>
        </w:p>
      </w:tc>
    </w:tr>
  </w:tbl>
  <w:p w14:paraId="1BEE61F2" w14:textId="77777777" w:rsidR="008973A3" w:rsidRPr="00B71AFC" w:rsidRDefault="008973A3">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2D167" w14:textId="77777777" w:rsidR="00DE04C6" w:rsidRDefault="00DE04C6">
      <w:r>
        <w:separator/>
      </w:r>
    </w:p>
  </w:footnote>
  <w:footnote w:type="continuationSeparator" w:id="0">
    <w:p w14:paraId="1764980C" w14:textId="77777777" w:rsidR="00DE04C6" w:rsidRDefault="00DE04C6">
      <w:r>
        <w:continuationSeparator/>
      </w:r>
    </w:p>
  </w:footnote>
  <w:footnote w:id="1">
    <w:p w14:paraId="490AD57D" w14:textId="2AFFA763" w:rsidR="00750E48" w:rsidRPr="00750E48" w:rsidRDefault="00750E48">
      <w:pPr>
        <w:pStyle w:val="Testonotaapidipagina"/>
        <w:rPr>
          <w:lang w:val="it-IT"/>
        </w:rPr>
      </w:pPr>
      <w:r>
        <w:rPr>
          <w:rStyle w:val="Rimandonotaapidipagina"/>
        </w:rPr>
        <w:footnoteRef/>
      </w:r>
      <w:r>
        <w:t xml:space="preserve"> Congiuntura Ref., n. 2-2026</w:t>
      </w:r>
    </w:p>
  </w:footnote>
  <w:footnote w:id="2">
    <w:p w14:paraId="51E546D6" w14:textId="31E40AAE" w:rsidR="009C0518" w:rsidRPr="009C0518" w:rsidRDefault="009C0518">
      <w:pPr>
        <w:pStyle w:val="Testonotaapidipagina"/>
      </w:pPr>
      <w:r>
        <w:rPr>
          <w:rStyle w:val="Rimandonotaapidipagina"/>
        </w:rPr>
        <w:footnoteRef/>
      </w:r>
      <w:r>
        <w:t xml:space="preserve"> Vedi </w:t>
      </w:r>
      <w:r w:rsidRPr="009C0518">
        <w:t xml:space="preserve">report HCOB PMI® Settore Manifatturiero </w:t>
      </w:r>
      <w:r>
        <w:t>per Italia, Germania ed Eurozona, febbraio 2026.</w:t>
      </w:r>
    </w:p>
  </w:footnote>
  <w:footnote w:id="3">
    <w:p w14:paraId="3801C9BC" w14:textId="79783415" w:rsidR="004466C3" w:rsidRPr="004466C3" w:rsidRDefault="004466C3">
      <w:pPr>
        <w:pStyle w:val="Testonotaapidipagina"/>
        <w:rPr>
          <w:lang w:val="it-IT"/>
        </w:rPr>
      </w:pPr>
      <w:r>
        <w:rPr>
          <w:rStyle w:val="Rimandonotaapidipagina"/>
        </w:rPr>
        <w:footnoteRef/>
      </w:r>
      <w:r>
        <w:t xml:space="preserve"> </w:t>
      </w:r>
      <w:r>
        <w:rPr>
          <w:lang w:val="it-IT"/>
        </w:rPr>
        <w:t>Cfr. articolo di Lucio Caracciolo, La Repubblica, 15-2-2026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C53D5" w14:textId="77777777" w:rsidR="008973A3" w:rsidRDefault="008973A3">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1B0AB" w14:textId="77777777" w:rsidR="008973A3" w:rsidRDefault="007F7710">
    <w:pPr>
      <w:pBdr>
        <w:top w:val="nil"/>
        <w:left w:val="nil"/>
        <w:bottom w:val="nil"/>
        <w:right w:val="nil"/>
        <w:between w:val="nil"/>
      </w:pBdr>
      <w:tabs>
        <w:tab w:val="center" w:pos="4819"/>
        <w:tab w:val="right" w:pos="9638"/>
      </w:tabs>
      <w:rPr>
        <w:color w:val="000000"/>
      </w:rPr>
    </w:pPr>
    <w:r>
      <w:rPr>
        <w:noProof/>
      </w:rPr>
      <w:drawing>
        <wp:anchor distT="0" distB="0" distL="0" distR="0" simplePos="0" relativeHeight="251658240" behindDoc="1" locked="0" layoutInCell="1" hidden="0" allowOverlap="1" wp14:anchorId="56C5D725" wp14:editId="7EDB7842">
          <wp:simplePos x="0" y="0"/>
          <wp:positionH relativeFrom="column">
            <wp:posOffset>-786198</wp:posOffset>
          </wp:positionH>
          <wp:positionV relativeFrom="paragraph">
            <wp:posOffset>538542</wp:posOffset>
          </wp:positionV>
          <wp:extent cx="3111228" cy="532933"/>
          <wp:effectExtent l="0" t="0" r="0" b="0"/>
          <wp:wrapNone/>
          <wp:docPr id="1999532104" name="image19.png" descr="logo_camera.png"/>
          <wp:cNvGraphicFramePr/>
          <a:graphic xmlns:a="http://schemas.openxmlformats.org/drawingml/2006/main">
            <a:graphicData uri="http://schemas.openxmlformats.org/drawingml/2006/picture">
              <pic:pic xmlns:pic="http://schemas.openxmlformats.org/drawingml/2006/picture">
                <pic:nvPicPr>
                  <pic:cNvPr id="0" name="image19.png" descr="logo_camera.png"/>
                  <pic:cNvPicPr preferRelativeResize="0"/>
                </pic:nvPicPr>
                <pic:blipFill>
                  <a:blip r:embed="rId1"/>
                  <a:srcRect/>
                  <a:stretch>
                    <a:fillRect/>
                  </a:stretch>
                </pic:blipFill>
                <pic:spPr>
                  <a:xfrm>
                    <a:off x="0" y="0"/>
                    <a:ext cx="3111228" cy="532933"/>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69F59" w14:textId="77777777" w:rsidR="008973A3" w:rsidRDefault="007F7710">
    <w:pPr>
      <w:pBdr>
        <w:top w:val="nil"/>
        <w:left w:val="nil"/>
        <w:bottom w:val="nil"/>
        <w:right w:val="nil"/>
        <w:between w:val="nil"/>
      </w:pBdr>
      <w:tabs>
        <w:tab w:val="center" w:pos="4819"/>
        <w:tab w:val="right" w:pos="9638"/>
      </w:tabs>
      <w:ind w:left="-284" w:firstLine="142"/>
      <w:rPr>
        <w:color w:val="000000"/>
        <w:sz w:val="12"/>
        <w:szCs w:val="12"/>
      </w:rPr>
    </w:pPr>
    <w:r>
      <w:rPr>
        <w:noProof/>
      </w:rPr>
      <w:drawing>
        <wp:anchor distT="0" distB="0" distL="0" distR="0" simplePos="0" relativeHeight="251659264" behindDoc="1" locked="0" layoutInCell="1" hidden="0" allowOverlap="1" wp14:anchorId="44A189AA" wp14:editId="042B2B2F">
          <wp:simplePos x="0" y="0"/>
          <wp:positionH relativeFrom="column">
            <wp:posOffset>4082415</wp:posOffset>
          </wp:positionH>
          <wp:positionV relativeFrom="paragraph">
            <wp:posOffset>-9519</wp:posOffset>
          </wp:positionV>
          <wp:extent cx="1728470" cy="1676400"/>
          <wp:effectExtent l="0" t="0" r="0" b="0"/>
          <wp:wrapNone/>
          <wp:docPr id="1999532112" name="image13.png" descr="rosone.png"/>
          <wp:cNvGraphicFramePr/>
          <a:graphic xmlns:a="http://schemas.openxmlformats.org/drawingml/2006/main">
            <a:graphicData uri="http://schemas.openxmlformats.org/drawingml/2006/picture">
              <pic:pic xmlns:pic="http://schemas.openxmlformats.org/drawingml/2006/picture">
                <pic:nvPicPr>
                  <pic:cNvPr id="0" name="image13.png" descr="rosone.png"/>
                  <pic:cNvPicPr preferRelativeResize="0"/>
                </pic:nvPicPr>
                <pic:blipFill>
                  <a:blip r:embed="rId1"/>
                  <a:srcRect/>
                  <a:stretch>
                    <a:fillRect/>
                  </a:stretch>
                </pic:blipFill>
                <pic:spPr>
                  <a:xfrm>
                    <a:off x="0" y="0"/>
                    <a:ext cx="1728470" cy="1676400"/>
                  </a:xfrm>
                  <a:prstGeom prst="rect">
                    <a:avLst/>
                  </a:prstGeom>
                  <a:ln/>
                </pic:spPr>
              </pic:pic>
            </a:graphicData>
          </a:graphic>
        </wp:anchor>
      </w:drawing>
    </w:r>
  </w:p>
  <w:p w14:paraId="5A8BEF59" w14:textId="77777777" w:rsidR="008973A3" w:rsidRDefault="008973A3">
    <w:pPr>
      <w:pBdr>
        <w:top w:val="nil"/>
        <w:left w:val="nil"/>
        <w:bottom w:val="nil"/>
        <w:right w:val="nil"/>
        <w:between w:val="nil"/>
      </w:pBdr>
      <w:tabs>
        <w:tab w:val="center" w:pos="4819"/>
        <w:tab w:val="right" w:pos="9638"/>
      </w:tabs>
      <w:rPr>
        <w:color w:val="000000"/>
        <w:sz w:val="12"/>
        <w:szCs w:val="12"/>
      </w:rPr>
    </w:pPr>
  </w:p>
  <w:p w14:paraId="456A1740" w14:textId="77777777" w:rsidR="008973A3" w:rsidRDefault="008973A3">
    <w:pPr>
      <w:pBdr>
        <w:top w:val="nil"/>
        <w:left w:val="nil"/>
        <w:bottom w:val="nil"/>
        <w:right w:val="nil"/>
        <w:between w:val="nil"/>
      </w:pBdr>
      <w:tabs>
        <w:tab w:val="center" w:pos="4819"/>
        <w:tab w:val="right" w:pos="9638"/>
      </w:tabs>
      <w:rPr>
        <w:color w:val="000000"/>
        <w:sz w:val="12"/>
        <w:szCs w:val="12"/>
      </w:rPr>
    </w:pPr>
  </w:p>
  <w:p w14:paraId="120ADE00" w14:textId="77777777" w:rsidR="008973A3" w:rsidRDefault="008973A3">
    <w:pPr>
      <w:pBdr>
        <w:top w:val="nil"/>
        <w:left w:val="nil"/>
        <w:bottom w:val="nil"/>
        <w:right w:val="nil"/>
        <w:between w:val="nil"/>
      </w:pBdr>
      <w:tabs>
        <w:tab w:val="center" w:pos="4819"/>
        <w:tab w:val="right" w:pos="9638"/>
      </w:tabs>
      <w:rPr>
        <w:color w:val="000000"/>
        <w:sz w:val="12"/>
        <w:szCs w:val="12"/>
      </w:rPr>
    </w:pPr>
  </w:p>
  <w:p w14:paraId="45F3611E" w14:textId="77777777" w:rsidR="008973A3" w:rsidRDefault="008973A3">
    <w:pPr>
      <w:pBdr>
        <w:top w:val="nil"/>
        <w:left w:val="nil"/>
        <w:bottom w:val="nil"/>
        <w:right w:val="nil"/>
        <w:between w:val="nil"/>
      </w:pBdr>
      <w:tabs>
        <w:tab w:val="center" w:pos="4819"/>
        <w:tab w:val="right" w:pos="9638"/>
      </w:tabs>
      <w:rPr>
        <w:color w:val="000000"/>
        <w:sz w:val="12"/>
        <w:szCs w:val="12"/>
      </w:rPr>
    </w:pPr>
  </w:p>
  <w:p w14:paraId="24E1A1CE" w14:textId="77777777" w:rsidR="008973A3" w:rsidRDefault="007F7710">
    <w:pPr>
      <w:pBdr>
        <w:top w:val="nil"/>
        <w:left w:val="nil"/>
        <w:bottom w:val="nil"/>
        <w:right w:val="nil"/>
        <w:between w:val="nil"/>
      </w:pBdr>
      <w:tabs>
        <w:tab w:val="center" w:pos="4819"/>
        <w:tab w:val="right" w:pos="9638"/>
      </w:tabs>
      <w:rPr>
        <w:color w:val="000000"/>
        <w:sz w:val="12"/>
        <w:szCs w:val="12"/>
      </w:rPr>
    </w:pPr>
    <w:r>
      <w:rPr>
        <w:noProof/>
      </w:rPr>
      <w:drawing>
        <wp:anchor distT="0" distB="0" distL="114300" distR="114300" simplePos="0" relativeHeight="251660288" behindDoc="0" locked="0" layoutInCell="1" hidden="0" allowOverlap="1" wp14:anchorId="0724572F" wp14:editId="183166E4">
          <wp:simplePos x="0" y="0"/>
          <wp:positionH relativeFrom="column">
            <wp:posOffset>-771366</wp:posOffset>
          </wp:positionH>
          <wp:positionV relativeFrom="paragraph">
            <wp:posOffset>37157</wp:posOffset>
          </wp:positionV>
          <wp:extent cx="3113449" cy="534154"/>
          <wp:effectExtent l="0" t="0" r="0" b="0"/>
          <wp:wrapNone/>
          <wp:docPr id="1999532101" name="image19.png" descr="logo_camera.png"/>
          <wp:cNvGraphicFramePr/>
          <a:graphic xmlns:a="http://schemas.openxmlformats.org/drawingml/2006/main">
            <a:graphicData uri="http://schemas.openxmlformats.org/drawingml/2006/picture">
              <pic:pic xmlns:pic="http://schemas.openxmlformats.org/drawingml/2006/picture">
                <pic:nvPicPr>
                  <pic:cNvPr id="0" name="image19.png" descr="logo_camera.png"/>
                  <pic:cNvPicPr preferRelativeResize="0"/>
                </pic:nvPicPr>
                <pic:blipFill>
                  <a:blip r:embed="rId2"/>
                  <a:srcRect/>
                  <a:stretch>
                    <a:fillRect/>
                  </a:stretch>
                </pic:blipFill>
                <pic:spPr>
                  <a:xfrm>
                    <a:off x="0" y="0"/>
                    <a:ext cx="3113449" cy="534154"/>
                  </a:xfrm>
                  <a:prstGeom prst="rect">
                    <a:avLst/>
                  </a:prstGeom>
                  <a:ln/>
                </pic:spPr>
              </pic:pic>
            </a:graphicData>
          </a:graphic>
        </wp:anchor>
      </w:drawing>
    </w:r>
  </w:p>
  <w:p w14:paraId="7F091082" w14:textId="77777777" w:rsidR="008973A3" w:rsidRDefault="008973A3">
    <w:pPr>
      <w:pBdr>
        <w:top w:val="nil"/>
        <w:left w:val="nil"/>
        <w:bottom w:val="nil"/>
        <w:right w:val="nil"/>
        <w:between w:val="nil"/>
      </w:pBdr>
      <w:tabs>
        <w:tab w:val="center" w:pos="4819"/>
        <w:tab w:val="right" w:pos="9638"/>
      </w:tabs>
      <w:rPr>
        <w:color w:val="000000"/>
        <w:sz w:val="12"/>
        <w:szCs w:val="12"/>
      </w:rPr>
    </w:pPr>
  </w:p>
  <w:p w14:paraId="19CB3FAB" w14:textId="77777777" w:rsidR="008973A3" w:rsidRDefault="008973A3">
    <w:pPr>
      <w:pBdr>
        <w:top w:val="nil"/>
        <w:left w:val="nil"/>
        <w:bottom w:val="nil"/>
        <w:right w:val="nil"/>
        <w:between w:val="nil"/>
      </w:pBdr>
      <w:tabs>
        <w:tab w:val="center" w:pos="4819"/>
        <w:tab w:val="right" w:pos="9638"/>
      </w:tabs>
      <w:rPr>
        <w:color w:val="000000"/>
        <w:sz w:val="12"/>
        <w:szCs w:val="12"/>
      </w:rPr>
    </w:pPr>
  </w:p>
  <w:p w14:paraId="25564117" w14:textId="77777777" w:rsidR="008973A3" w:rsidRDefault="008973A3">
    <w:pPr>
      <w:pBdr>
        <w:top w:val="nil"/>
        <w:left w:val="nil"/>
        <w:bottom w:val="nil"/>
        <w:right w:val="nil"/>
        <w:between w:val="nil"/>
      </w:pBdr>
      <w:tabs>
        <w:tab w:val="center" w:pos="4819"/>
        <w:tab w:val="right" w:pos="9638"/>
      </w:tabs>
      <w:rPr>
        <w:color w:val="000000"/>
        <w:sz w:val="12"/>
        <w:szCs w:val="12"/>
      </w:rPr>
    </w:pPr>
  </w:p>
  <w:p w14:paraId="790BCB25" w14:textId="77777777" w:rsidR="008973A3" w:rsidRDefault="008973A3">
    <w:pPr>
      <w:pBdr>
        <w:top w:val="nil"/>
        <w:left w:val="nil"/>
        <w:bottom w:val="nil"/>
        <w:right w:val="nil"/>
        <w:between w:val="nil"/>
      </w:pBdr>
      <w:tabs>
        <w:tab w:val="center" w:pos="4819"/>
        <w:tab w:val="right" w:pos="9638"/>
      </w:tabs>
      <w:rPr>
        <w:color w:val="000000"/>
        <w:sz w:val="12"/>
        <w:szCs w:val="12"/>
      </w:rPr>
    </w:pPr>
  </w:p>
  <w:p w14:paraId="547D48B2" w14:textId="77777777" w:rsidR="008973A3" w:rsidRDefault="008973A3">
    <w:pPr>
      <w:pBdr>
        <w:top w:val="nil"/>
        <w:left w:val="nil"/>
        <w:bottom w:val="nil"/>
        <w:right w:val="nil"/>
        <w:between w:val="nil"/>
      </w:pBdr>
      <w:tabs>
        <w:tab w:val="center" w:pos="4819"/>
        <w:tab w:val="right" w:pos="9638"/>
      </w:tabs>
      <w:rPr>
        <w:color w:val="000000"/>
        <w:sz w:val="12"/>
        <w:szCs w:val="12"/>
      </w:rPr>
    </w:pPr>
  </w:p>
  <w:p w14:paraId="655AB10C" w14:textId="77777777" w:rsidR="008973A3" w:rsidRDefault="008973A3">
    <w:pPr>
      <w:pBdr>
        <w:top w:val="nil"/>
        <w:left w:val="nil"/>
        <w:bottom w:val="nil"/>
        <w:right w:val="nil"/>
        <w:between w:val="nil"/>
      </w:pBdr>
      <w:tabs>
        <w:tab w:val="center" w:pos="4819"/>
        <w:tab w:val="right" w:pos="9638"/>
      </w:tabs>
      <w:rPr>
        <w:color w:val="000000"/>
        <w:sz w:val="12"/>
        <w:szCs w:val="12"/>
      </w:rPr>
    </w:pPr>
  </w:p>
  <w:p w14:paraId="63471823" w14:textId="77777777" w:rsidR="008973A3" w:rsidRDefault="008973A3">
    <w:pPr>
      <w:pBdr>
        <w:top w:val="nil"/>
        <w:left w:val="nil"/>
        <w:bottom w:val="nil"/>
        <w:right w:val="nil"/>
        <w:between w:val="nil"/>
      </w:pBdr>
      <w:tabs>
        <w:tab w:val="center" w:pos="4819"/>
        <w:tab w:val="right" w:pos="9638"/>
      </w:tabs>
      <w:rPr>
        <w:color w:val="000000"/>
        <w:sz w:val="12"/>
        <w:szCs w:val="12"/>
      </w:rPr>
    </w:pPr>
  </w:p>
  <w:p w14:paraId="658F478F" w14:textId="77777777" w:rsidR="008973A3" w:rsidRDefault="008973A3">
    <w:pPr>
      <w:pBdr>
        <w:top w:val="nil"/>
        <w:left w:val="nil"/>
        <w:bottom w:val="nil"/>
        <w:right w:val="nil"/>
        <w:between w:val="nil"/>
      </w:pBdr>
      <w:tabs>
        <w:tab w:val="center" w:pos="4819"/>
        <w:tab w:val="right" w:pos="9638"/>
      </w:tabs>
      <w:rPr>
        <w:color w:val="000000"/>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C0230"/>
    <w:multiLevelType w:val="hybridMultilevel"/>
    <w:tmpl w:val="8B04A14C"/>
    <w:lvl w:ilvl="0" w:tplc="0DBC27B4">
      <w:numFmt w:val="bullet"/>
      <w:lvlText w:val="•"/>
      <w:lvlJc w:val="left"/>
      <w:pPr>
        <w:ind w:left="1080" w:hanging="72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42F1482"/>
    <w:multiLevelType w:val="hybridMultilevel"/>
    <w:tmpl w:val="75DE3B8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2A320328"/>
    <w:multiLevelType w:val="hybridMultilevel"/>
    <w:tmpl w:val="80828624"/>
    <w:lvl w:ilvl="0" w:tplc="48347D12">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15:restartNumberingAfterBreak="0">
    <w:nsid w:val="3EFC7DD5"/>
    <w:multiLevelType w:val="multilevel"/>
    <w:tmpl w:val="6F0A2A78"/>
    <w:lvl w:ilvl="0">
      <w:start w:val="1"/>
      <w:numFmt w:val="bullet"/>
      <w:lvlText w:val="●"/>
      <w:lvlJc w:val="left"/>
      <w:pPr>
        <w:ind w:left="-2136" w:hanging="360"/>
      </w:pPr>
      <w:rPr>
        <w:rFonts w:ascii="Noto Sans Symbols" w:eastAsia="Noto Sans Symbols" w:hAnsi="Noto Sans Symbols" w:cs="Noto Sans Symbols"/>
        <w:color w:val="000000"/>
      </w:rPr>
    </w:lvl>
    <w:lvl w:ilvl="1">
      <w:start w:val="1"/>
      <w:numFmt w:val="bullet"/>
      <w:lvlText w:val="o"/>
      <w:lvlJc w:val="left"/>
      <w:pPr>
        <w:ind w:left="-1416" w:hanging="360"/>
      </w:pPr>
      <w:rPr>
        <w:rFonts w:ascii="Courier New" w:eastAsia="Courier New" w:hAnsi="Courier New" w:cs="Courier New"/>
      </w:rPr>
    </w:lvl>
    <w:lvl w:ilvl="2">
      <w:start w:val="1"/>
      <w:numFmt w:val="bullet"/>
      <w:lvlText w:val="▪"/>
      <w:lvlJc w:val="left"/>
      <w:pPr>
        <w:ind w:left="-696" w:hanging="360"/>
      </w:pPr>
      <w:rPr>
        <w:rFonts w:ascii="Noto Sans Symbols" w:eastAsia="Noto Sans Symbols" w:hAnsi="Noto Sans Symbols" w:cs="Noto Sans Symbols"/>
      </w:rPr>
    </w:lvl>
    <w:lvl w:ilvl="3">
      <w:start w:val="1"/>
      <w:numFmt w:val="bullet"/>
      <w:lvlText w:val="●"/>
      <w:lvlJc w:val="left"/>
      <w:pPr>
        <w:ind w:left="24" w:hanging="360"/>
      </w:pPr>
      <w:rPr>
        <w:rFonts w:ascii="Noto Sans Symbols" w:eastAsia="Noto Sans Symbols" w:hAnsi="Noto Sans Symbols" w:cs="Noto Sans Symbols"/>
      </w:rPr>
    </w:lvl>
    <w:lvl w:ilvl="4">
      <w:start w:val="1"/>
      <w:numFmt w:val="bullet"/>
      <w:lvlText w:val="o"/>
      <w:lvlJc w:val="left"/>
      <w:pPr>
        <w:ind w:left="744" w:hanging="357"/>
      </w:pPr>
      <w:rPr>
        <w:rFonts w:ascii="Courier New" w:eastAsia="Courier New" w:hAnsi="Courier New" w:cs="Courier New"/>
      </w:rPr>
    </w:lvl>
    <w:lvl w:ilvl="5">
      <w:start w:val="1"/>
      <w:numFmt w:val="bullet"/>
      <w:lvlText w:val="▪"/>
      <w:lvlJc w:val="left"/>
      <w:pPr>
        <w:ind w:left="1464" w:hanging="360"/>
      </w:pPr>
      <w:rPr>
        <w:rFonts w:ascii="Noto Sans Symbols" w:eastAsia="Noto Sans Symbols" w:hAnsi="Noto Sans Symbols" w:cs="Noto Sans Symbols"/>
      </w:rPr>
    </w:lvl>
    <w:lvl w:ilvl="6">
      <w:start w:val="1"/>
      <w:numFmt w:val="bullet"/>
      <w:lvlText w:val="●"/>
      <w:lvlJc w:val="left"/>
      <w:pPr>
        <w:ind w:left="2184" w:hanging="360"/>
      </w:pPr>
      <w:rPr>
        <w:rFonts w:ascii="Noto Sans Symbols" w:eastAsia="Noto Sans Symbols" w:hAnsi="Noto Sans Symbols" w:cs="Noto Sans Symbols"/>
      </w:rPr>
    </w:lvl>
    <w:lvl w:ilvl="7">
      <w:start w:val="1"/>
      <w:numFmt w:val="bullet"/>
      <w:lvlText w:val="o"/>
      <w:lvlJc w:val="left"/>
      <w:pPr>
        <w:ind w:left="2904" w:hanging="360"/>
      </w:pPr>
      <w:rPr>
        <w:rFonts w:ascii="Courier New" w:eastAsia="Courier New" w:hAnsi="Courier New" w:cs="Courier New"/>
      </w:rPr>
    </w:lvl>
    <w:lvl w:ilvl="8">
      <w:start w:val="1"/>
      <w:numFmt w:val="bullet"/>
      <w:lvlText w:val="▪"/>
      <w:lvlJc w:val="left"/>
      <w:pPr>
        <w:ind w:left="3624" w:hanging="360"/>
      </w:pPr>
      <w:rPr>
        <w:rFonts w:ascii="Noto Sans Symbols" w:eastAsia="Noto Sans Symbols" w:hAnsi="Noto Sans Symbols" w:cs="Noto Sans Symbols"/>
      </w:rPr>
    </w:lvl>
  </w:abstractNum>
  <w:abstractNum w:abstractNumId="4" w15:restartNumberingAfterBreak="0">
    <w:nsid w:val="4DE63556"/>
    <w:multiLevelType w:val="hybridMultilevel"/>
    <w:tmpl w:val="BFC0BB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A775E36"/>
    <w:multiLevelType w:val="hybridMultilevel"/>
    <w:tmpl w:val="13DA05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44275902">
    <w:abstractNumId w:val="3"/>
  </w:num>
  <w:num w:numId="2" w16cid:durableId="1698193019">
    <w:abstractNumId w:val="4"/>
  </w:num>
  <w:num w:numId="3" w16cid:durableId="746421356">
    <w:abstractNumId w:val="0"/>
  </w:num>
  <w:num w:numId="4" w16cid:durableId="552735043">
    <w:abstractNumId w:val="5"/>
  </w:num>
  <w:num w:numId="5" w16cid:durableId="8850666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099374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3A3"/>
    <w:rsid w:val="000002F6"/>
    <w:rsid w:val="00000D8B"/>
    <w:rsid w:val="00001084"/>
    <w:rsid w:val="0000260C"/>
    <w:rsid w:val="00003BC0"/>
    <w:rsid w:val="00006867"/>
    <w:rsid w:val="000131D7"/>
    <w:rsid w:val="0001583B"/>
    <w:rsid w:val="00017FCC"/>
    <w:rsid w:val="00031486"/>
    <w:rsid w:val="00034E41"/>
    <w:rsid w:val="000363B9"/>
    <w:rsid w:val="00037363"/>
    <w:rsid w:val="00041BCC"/>
    <w:rsid w:val="0004314B"/>
    <w:rsid w:val="0004387B"/>
    <w:rsid w:val="00050579"/>
    <w:rsid w:val="00052308"/>
    <w:rsid w:val="000535E4"/>
    <w:rsid w:val="00054724"/>
    <w:rsid w:val="000563A5"/>
    <w:rsid w:val="00060608"/>
    <w:rsid w:val="000606C9"/>
    <w:rsid w:val="00062306"/>
    <w:rsid w:val="00062AAA"/>
    <w:rsid w:val="0006439B"/>
    <w:rsid w:val="000703FB"/>
    <w:rsid w:val="00077973"/>
    <w:rsid w:val="00077BD2"/>
    <w:rsid w:val="00084043"/>
    <w:rsid w:val="00092F45"/>
    <w:rsid w:val="000A38A4"/>
    <w:rsid w:val="000A7BF5"/>
    <w:rsid w:val="000B739F"/>
    <w:rsid w:val="000C0542"/>
    <w:rsid w:val="000C1722"/>
    <w:rsid w:val="000C6266"/>
    <w:rsid w:val="000D435C"/>
    <w:rsid w:val="000D5EB8"/>
    <w:rsid w:val="000D6F99"/>
    <w:rsid w:val="000E0877"/>
    <w:rsid w:val="000E242E"/>
    <w:rsid w:val="000E4631"/>
    <w:rsid w:val="000E5559"/>
    <w:rsid w:val="000E74F8"/>
    <w:rsid w:val="000F76DC"/>
    <w:rsid w:val="001009BC"/>
    <w:rsid w:val="00101B92"/>
    <w:rsid w:val="00103173"/>
    <w:rsid w:val="00106433"/>
    <w:rsid w:val="00106767"/>
    <w:rsid w:val="0012305F"/>
    <w:rsid w:val="001237E4"/>
    <w:rsid w:val="00124170"/>
    <w:rsid w:val="0012451C"/>
    <w:rsid w:val="001256FC"/>
    <w:rsid w:val="00125E35"/>
    <w:rsid w:val="00127DC6"/>
    <w:rsid w:val="001442AD"/>
    <w:rsid w:val="00146F58"/>
    <w:rsid w:val="00150E8E"/>
    <w:rsid w:val="0015270E"/>
    <w:rsid w:val="001535EE"/>
    <w:rsid w:val="00153AE5"/>
    <w:rsid w:val="00155417"/>
    <w:rsid w:val="00163314"/>
    <w:rsid w:val="00170773"/>
    <w:rsid w:val="00175108"/>
    <w:rsid w:val="00180914"/>
    <w:rsid w:val="00182C03"/>
    <w:rsid w:val="0018740A"/>
    <w:rsid w:val="001908C4"/>
    <w:rsid w:val="00190A97"/>
    <w:rsid w:val="00190BE8"/>
    <w:rsid w:val="00195BF4"/>
    <w:rsid w:val="001A4DB7"/>
    <w:rsid w:val="001A540C"/>
    <w:rsid w:val="001A5509"/>
    <w:rsid w:val="001B2105"/>
    <w:rsid w:val="001B39A6"/>
    <w:rsid w:val="001B44CE"/>
    <w:rsid w:val="001B6D67"/>
    <w:rsid w:val="001C038E"/>
    <w:rsid w:val="001C073F"/>
    <w:rsid w:val="001C5CF8"/>
    <w:rsid w:val="001D4117"/>
    <w:rsid w:val="001D566A"/>
    <w:rsid w:val="001E0623"/>
    <w:rsid w:val="001E4360"/>
    <w:rsid w:val="00200691"/>
    <w:rsid w:val="002006F9"/>
    <w:rsid w:val="0020666D"/>
    <w:rsid w:val="00210D1F"/>
    <w:rsid w:val="00211FF3"/>
    <w:rsid w:val="00216ECF"/>
    <w:rsid w:val="002206FF"/>
    <w:rsid w:val="0022240F"/>
    <w:rsid w:val="00225ED3"/>
    <w:rsid w:val="00230D91"/>
    <w:rsid w:val="00237173"/>
    <w:rsid w:val="002425BE"/>
    <w:rsid w:val="00243E35"/>
    <w:rsid w:val="0025477B"/>
    <w:rsid w:val="00261E45"/>
    <w:rsid w:val="00261F05"/>
    <w:rsid w:val="0026399F"/>
    <w:rsid w:val="0027395A"/>
    <w:rsid w:val="00274443"/>
    <w:rsid w:val="0027456B"/>
    <w:rsid w:val="00274E36"/>
    <w:rsid w:val="0028025F"/>
    <w:rsid w:val="0028336A"/>
    <w:rsid w:val="002848C6"/>
    <w:rsid w:val="002858B3"/>
    <w:rsid w:val="002A08CF"/>
    <w:rsid w:val="002A3881"/>
    <w:rsid w:val="002A54CA"/>
    <w:rsid w:val="002A62A0"/>
    <w:rsid w:val="002A7A15"/>
    <w:rsid w:val="002B49E3"/>
    <w:rsid w:val="002C09C8"/>
    <w:rsid w:val="002C35AA"/>
    <w:rsid w:val="002C54C1"/>
    <w:rsid w:val="002C6092"/>
    <w:rsid w:val="002C779D"/>
    <w:rsid w:val="002E01BE"/>
    <w:rsid w:val="002E0EC4"/>
    <w:rsid w:val="002E1E9D"/>
    <w:rsid w:val="002E31A5"/>
    <w:rsid w:val="002E5DD0"/>
    <w:rsid w:val="002E67F8"/>
    <w:rsid w:val="002E789D"/>
    <w:rsid w:val="002F04E9"/>
    <w:rsid w:val="002F182D"/>
    <w:rsid w:val="002F1CA6"/>
    <w:rsid w:val="002F2C65"/>
    <w:rsid w:val="00300219"/>
    <w:rsid w:val="00300273"/>
    <w:rsid w:val="00301BB9"/>
    <w:rsid w:val="00306788"/>
    <w:rsid w:val="00323EED"/>
    <w:rsid w:val="0033260E"/>
    <w:rsid w:val="00337157"/>
    <w:rsid w:val="00340E9C"/>
    <w:rsid w:val="003443AE"/>
    <w:rsid w:val="00346DED"/>
    <w:rsid w:val="003479DA"/>
    <w:rsid w:val="00350A9A"/>
    <w:rsid w:val="00352106"/>
    <w:rsid w:val="003550FA"/>
    <w:rsid w:val="00357847"/>
    <w:rsid w:val="00357F4A"/>
    <w:rsid w:val="00361552"/>
    <w:rsid w:val="0036197D"/>
    <w:rsid w:val="003654FA"/>
    <w:rsid w:val="00366672"/>
    <w:rsid w:val="00367B9F"/>
    <w:rsid w:val="00374913"/>
    <w:rsid w:val="0038215C"/>
    <w:rsid w:val="00384714"/>
    <w:rsid w:val="003906CD"/>
    <w:rsid w:val="003909BE"/>
    <w:rsid w:val="003A0B6E"/>
    <w:rsid w:val="003A344C"/>
    <w:rsid w:val="003A38DB"/>
    <w:rsid w:val="003A5FDD"/>
    <w:rsid w:val="003A74A5"/>
    <w:rsid w:val="003B1834"/>
    <w:rsid w:val="003B6AE0"/>
    <w:rsid w:val="003B778B"/>
    <w:rsid w:val="003C0BBF"/>
    <w:rsid w:val="003C5E28"/>
    <w:rsid w:val="003D0EA1"/>
    <w:rsid w:val="003D425F"/>
    <w:rsid w:val="003D4312"/>
    <w:rsid w:val="003E2D2E"/>
    <w:rsid w:val="003E3E71"/>
    <w:rsid w:val="003E5D46"/>
    <w:rsid w:val="003E5F86"/>
    <w:rsid w:val="003F60B8"/>
    <w:rsid w:val="00401B53"/>
    <w:rsid w:val="00402E26"/>
    <w:rsid w:val="0040325D"/>
    <w:rsid w:val="00404F67"/>
    <w:rsid w:val="0041318B"/>
    <w:rsid w:val="00414880"/>
    <w:rsid w:val="004219AC"/>
    <w:rsid w:val="004222D7"/>
    <w:rsid w:val="004222F2"/>
    <w:rsid w:val="00424288"/>
    <w:rsid w:val="00427B52"/>
    <w:rsid w:val="0043072E"/>
    <w:rsid w:val="00431821"/>
    <w:rsid w:val="00432181"/>
    <w:rsid w:val="004354E2"/>
    <w:rsid w:val="00436AC5"/>
    <w:rsid w:val="00437BCB"/>
    <w:rsid w:val="00441786"/>
    <w:rsid w:val="00441C52"/>
    <w:rsid w:val="004466C3"/>
    <w:rsid w:val="00455F20"/>
    <w:rsid w:val="004714C6"/>
    <w:rsid w:val="0047494A"/>
    <w:rsid w:val="0047618D"/>
    <w:rsid w:val="0048012F"/>
    <w:rsid w:val="00480B0D"/>
    <w:rsid w:val="00480D60"/>
    <w:rsid w:val="00481173"/>
    <w:rsid w:val="00481FB2"/>
    <w:rsid w:val="0048445B"/>
    <w:rsid w:val="004A0F6E"/>
    <w:rsid w:val="004A2A5D"/>
    <w:rsid w:val="004A30DB"/>
    <w:rsid w:val="004A458C"/>
    <w:rsid w:val="004A4E34"/>
    <w:rsid w:val="004A5ABE"/>
    <w:rsid w:val="004B10E5"/>
    <w:rsid w:val="004C3D53"/>
    <w:rsid w:val="004C6F30"/>
    <w:rsid w:val="004D0933"/>
    <w:rsid w:val="004D3515"/>
    <w:rsid w:val="004D41EA"/>
    <w:rsid w:val="004E2DE1"/>
    <w:rsid w:val="004E42E8"/>
    <w:rsid w:val="004F14DF"/>
    <w:rsid w:val="004F2994"/>
    <w:rsid w:val="004F29FE"/>
    <w:rsid w:val="004F36D3"/>
    <w:rsid w:val="004F579D"/>
    <w:rsid w:val="004F5FE0"/>
    <w:rsid w:val="00501784"/>
    <w:rsid w:val="00520F20"/>
    <w:rsid w:val="00521045"/>
    <w:rsid w:val="00525DFD"/>
    <w:rsid w:val="00530D02"/>
    <w:rsid w:val="00532CAB"/>
    <w:rsid w:val="005331C8"/>
    <w:rsid w:val="005336FE"/>
    <w:rsid w:val="0053405A"/>
    <w:rsid w:val="005341F6"/>
    <w:rsid w:val="00534A6D"/>
    <w:rsid w:val="0053615A"/>
    <w:rsid w:val="00537E72"/>
    <w:rsid w:val="00541C57"/>
    <w:rsid w:val="00543E51"/>
    <w:rsid w:val="00545F00"/>
    <w:rsid w:val="0055486A"/>
    <w:rsid w:val="00554C5B"/>
    <w:rsid w:val="00565000"/>
    <w:rsid w:val="005667F8"/>
    <w:rsid w:val="00573DEC"/>
    <w:rsid w:val="00580D0E"/>
    <w:rsid w:val="00581B92"/>
    <w:rsid w:val="00583857"/>
    <w:rsid w:val="00585326"/>
    <w:rsid w:val="00586BC0"/>
    <w:rsid w:val="005917CC"/>
    <w:rsid w:val="00591BFE"/>
    <w:rsid w:val="00593049"/>
    <w:rsid w:val="005A286F"/>
    <w:rsid w:val="005A77BA"/>
    <w:rsid w:val="005B1058"/>
    <w:rsid w:val="005B1CCE"/>
    <w:rsid w:val="005B3BEB"/>
    <w:rsid w:val="005B73D1"/>
    <w:rsid w:val="005B74C9"/>
    <w:rsid w:val="005B79BD"/>
    <w:rsid w:val="005C6A72"/>
    <w:rsid w:val="005D284F"/>
    <w:rsid w:val="005D39C4"/>
    <w:rsid w:val="005E01F3"/>
    <w:rsid w:val="005E4978"/>
    <w:rsid w:val="006027BD"/>
    <w:rsid w:val="006169AF"/>
    <w:rsid w:val="00624F95"/>
    <w:rsid w:val="00634354"/>
    <w:rsid w:val="006362C6"/>
    <w:rsid w:val="006364AB"/>
    <w:rsid w:val="00637D10"/>
    <w:rsid w:val="00651115"/>
    <w:rsid w:val="00656010"/>
    <w:rsid w:val="00665488"/>
    <w:rsid w:val="00665F55"/>
    <w:rsid w:val="00665F99"/>
    <w:rsid w:val="00671025"/>
    <w:rsid w:val="00680370"/>
    <w:rsid w:val="006804E1"/>
    <w:rsid w:val="0068061D"/>
    <w:rsid w:val="00681582"/>
    <w:rsid w:val="0069088F"/>
    <w:rsid w:val="00692EFC"/>
    <w:rsid w:val="006A0B5D"/>
    <w:rsid w:val="006A3098"/>
    <w:rsid w:val="006A3AAC"/>
    <w:rsid w:val="006C0B37"/>
    <w:rsid w:val="006C1259"/>
    <w:rsid w:val="006C3325"/>
    <w:rsid w:val="006C64F8"/>
    <w:rsid w:val="006D4EC8"/>
    <w:rsid w:val="006D719B"/>
    <w:rsid w:val="006E06B1"/>
    <w:rsid w:val="006E383F"/>
    <w:rsid w:val="006E3AFE"/>
    <w:rsid w:val="006E4090"/>
    <w:rsid w:val="006E59C8"/>
    <w:rsid w:val="006E7781"/>
    <w:rsid w:val="006F0A83"/>
    <w:rsid w:val="006F490D"/>
    <w:rsid w:val="0070160E"/>
    <w:rsid w:val="00706785"/>
    <w:rsid w:val="00710DE8"/>
    <w:rsid w:val="007158AE"/>
    <w:rsid w:val="00715F50"/>
    <w:rsid w:val="00717744"/>
    <w:rsid w:val="00723FE9"/>
    <w:rsid w:val="00724298"/>
    <w:rsid w:val="00725459"/>
    <w:rsid w:val="00736637"/>
    <w:rsid w:val="007432AD"/>
    <w:rsid w:val="00750453"/>
    <w:rsid w:val="00750DF8"/>
    <w:rsid w:val="00750E48"/>
    <w:rsid w:val="007550A1"/>
    <w:rsid w:val="0076004C"/>
    <w:rsid w:val="00773C42"/>
    <w:rsid w:val="007776E3"/>
    <w:rsid w:val="0078210B"/>
    <w:rsid w:val="007827A0"/>
    <w:rsid w:val="00783908"/>
    <w:rsid w:val="00783EC8"/>
    <w:rsid w:val="00786930"/>
    <w:rsid w:val="00791534"/>
    <w:rsid w:val="0079179F"/>
    <w:rsid w:val="007925AB"/>
    <w:rsid w:val="007930C4"/>
    <w:rsid w:val="0079409A"/>
    <w:rsid w:val="00794955"/>
    <w:rsid w:val="007A16FB"/>
    <w:rsid w:val="007A36CA"/>
    <w:rsid w:val="007C2A2D"/>
    <w:rsid w:val="007D4AF6"/>
    <w:rsid w:val="007D5CAE"/>
    <w:rsid w:val="007D63C6"/>
    <w:rsid w:val="007D750E"/>
    <w:rsid w:val="007D78CF"/>
    <w:rsid w:val="007E0371"/>
    <w:rsid w:val="007E3B57"/>
    <w:rsid w:val="007F4E00"/>
    <w:rsid w:val="007F55A6"/>
    <w:rsid w:val="007F5AD3"/>
    <w:rsid w:val="007F61C8"/>
    <w:rsid w:val="007F7710"/>
    <w:rsid w:val="00803530"/>
    <w:rsid w:val="00805B33"/>
    <w:rsid w:val="00805C55"/>
    <w:rsid w:val="00810442"/>
    <w:rsid w:val="008105CF"/>
    <w:rsid w:val="00823C6C"/>
    <w:rsid w:val="00824A19"/>
    <w:rsid w:val="00826320"/>
    <w:rsid w:val="0083006C"/>
    <w:rsid w:val="00832519"/>
    <w:rsid w:val="008435FC"/>
    <w:rsid w:val="00846FCC"/>
    <w:rsid w:val="008470DD"/>
    <w:rsid w:val="00852292"/>
    <w:rsid w:val="008574B1"/>
    <w:rsid w:val="00857820"/>
    <w:rsid w:val="00864393"/>
    <w:rsid w:val="0087118C"/>
    <w:rsid w:val="00874062"/>
    <w:rsid w:val="00876BF0"/>
    <w:rsid w:val="00877DBC"/>
    <w:rsid w:val="00881449"/>
    <w:rsid w:val="00881DEC"/>
    <w:rsid w:val="00881DF1"/>
    <w:rsid w:val="00885750"/>
    <w:rsid w:val="008903FC"/>
    <w:rsid w:val="00891549"/>
    <w:rsid w:val="00895877"/>
    <w:rsid w:val="008973A3"/>
    <w:rsid w:val="00897582"/>
    <w:rsid w:val="0089787D"/>
    <w:rsid w:val="008A4190"/>
    <w:rsid w:val="008B751F"/>
    <w:rsid w:val="008C016E"/>
    <w:rsid w:val="008C1AC9"/>
    <w:rsid w:val="008C7689"/>
    <w:rsid w:val="008D0C66"/>
    <w:rsid w:val="008D3F82"/>
    <w:rsid w:val="008E0ED9"/>
    <w:rsid w:val="008E1953"/>
    <w:rsid w:val="008E39D7"/>
    <w:rsid w:val="008E3F14"/>
    <w:rsid w:val="008F0BDD"/>
    <w:rsid w:val="00900033"/>
    <w:rsid w:val="00901B76"/>
    <w:rsid w:val="009031B7"/>
    <w:rsid w:val="00905D42"/>
    <w:rsid w:val="009212AC"/>
    <w:rsid w:val="00924A24"/>
    <w:rsid w:val="009253E8"/>
    <w:rsid w:val="0092746B"/>
    <w:rsid w:val="00935D87"/>
    <w:rsid w:val="009453F2"/>
    <w:rsid w:val="0095158E"/>
    <w:rsid w:val="0095276C"/>
    <w:rsid w:val="00952C28"/>
    <w:rsid w:val="009545A6"/>
    <w:rsid w:val="0096162C"/>
    <w:rsid w:val="00963D73"/>
    <w:rsid w:val="00964C77"/>
    <w:rsid w:val="009727FB"/>
    <w:rsid w:val="00975C8A"/>
    <w:rsid w:val="009760D1"/>
    <w:rsid w:val="0098079E"/>
    <w:rsid w:val="00986D39"/>
    <w:rsid w:val="0099077D"/>
    <w:rsid w:val="009926A6"/>
    <w:rsid w:val="00996CED"/>
    <w:rsid w:val="009A1498"/>
    <w:rsid w:val="009A6C6D"/>
    <w:rsid w:val="009A7C8D"/>
    <w:rsid w:val="009B3B1D"/>
    <w:rsid w:val="009B679C"/>
    <w:rsid w:val="009C0518"/>
    <w:rsid w:val="009C2E6E"/>
    <w:rsid w:val="009C4030"/>
    <w:rsid w:val="009C44FA"/>
    <w:rsid w:val="009C5D46"/>
    <w:rsid w:val="009C604B"/>
    <w:rsid w:val="009C6C23"/>
    <w:rsid w:val="009C79FC"/>
    <w:rsid w:val="009D3287"/>
    <w:rsid w:val="009D5F7F"/>
    <w:rsid w:val="009E16C5"/>
    <w:rsid w:val="009E3498"/>
    <w:rsid w:val="009E37A0"/>
    <w:rsid w:val="00A0754D"/>
    <w:rsid w:val="00A07A49"/>
    <w:rsid w:val="00A1440D"/>
    <w:rsid w:val="00A15011"/>
    <w:rsid w:val="00A154A1"/>
    <w:rsid w:val="00A203E3"/>
    <w:rsid w:val="00A337D7"/>
    <w:rsid w:val="00A41016"/>
    <w:rsid w:val="00A42AD3"/>
    <w:rsid w:val="00A51BE5"/>
    <w:rsid w:val="00A62BB5"/>
    <w:rsid w:val="00A73558"/>
    <w:rsid w:val="00A748B6"/>
    <w:rsid w:val="00A76764"/>
    <w:rsid w:val="00A82291"/>
    <w:rsid w:val="00A857FB"/>
    <w:rsid w:val="00A86157"/>
    <w:rsid w:val="00AA2C0C"/>
    <w:rsid w:val="00AA31D8"/>
    <w:rsid w:val="00AA49E5"/>
    <w:rsid w:val="00AB0943"/>
    <w:rsid w:val="00AB5A12"/>
    <w:rsid w:val="00AC1C51"/>
    <w:rsid w:val="00AC3808"/>
    <w:rsid w:val="00AD41B6"/>
    <w:rsid w:val="00AD67AC"/>
    <w:rsid w:val="00AD6D92"/>
    <w:rsid w:val="00AE006F"/>
    <w:rsid w:val="00AE0B14"/>
    <w:rsid w:val="00AE0CC0"/>
    <w:rsid w:val="00AE15B4"/>
    <w:rsid w:val="00AE580D"/>
    <w:rsid w:val="00AF2A18"/>
    <w:rsid w:val="00AF4546"/>
    <w:rsid w:val="00B02A88"/>
    <w:rsid w:val="00B04B06"/>
    <w:rsid w:val="00B13980"/>
    <w:rsid w:val="00B2664B"/>
    <w:rsid w:val="00B30823"/>
    <w:rsid w:val="00B474D9"/>
    <w:rsid w:val="00B477FC"/>
    <w:rsid w:val="00B53830"/>
    <w:rsid w:val="00B5399D"/>
    <w:rsid w:val="00B54A6E"/>
    <w:rsid w:val="00B56852"/>
    <w:rsid w:val="00B574B7"/>
    <w:rsid w:val="00B60C0F"/>
    <w:rsid w:val="00B6411F"/>
    <w:rsid w:val="00B657B0"/>
    <w:rsid w:val="00B65B0F"/>
    <w:rsid w:val="00B70EF4"/>
    <w:rsid w:val="00B71AFC"/>
    <w:rsid w:val="00B73309"/>
    <w:rsid w:val="00B76780"/>
    <w:rsid w:val="00B7761F"/>
    <w:rsid w:val="00B80502"/>
    <w:rsid w:val="00B80967"/>
    <w:rsid w:val="00B823CB"/>
    <w:rsid w:val="00B8763B"/>
    <w:rsid w:val="00BB438F"/>
    <w:rsid w:val="00BC0780"/>
    <w:rsid w:val="00BC5E06"/>
    <w:rsid w:val="00BE1537"/>
    <w:rsid w:val="00BE2AA3"/>
    <w:rsid w:val="00BE4AD4"/>
    <w:rsid w:val="00BF27CE"/>
    <w:rsid w:val="00BF60CE"/>
    <w:rsid w:val="00BF6C06"/>
    <w:rsid w:val="00C01506"/>
    <w:rsid w:val="00C04B7A"/>
    <w:rsid w:val="00C06514"/>
    <w:rsid w:val="00C1034B"/>
    <w:rsid w:val="00C14987"/>
    <w:rsid w:val="00C207D7"/>
    <w:rsid w:val="00C2295D"/>
    <w:rsid w:val="00C24921"/>
    <w:rsid w:val="00C330D4"/>
    <w:rsid w:val="00C35407"/>
    <w:rsid w:val="00C47E1A"/>
    <w:rsid w:val="00C47EE3"/>
    <w:rsid w:val="00C6378A"/>
    <w:rsid w:val="00C72B6F"/>
    <w:rsid w:val="00C7700E"/>
    <w:rsid w:val="00C82E2A"/>
    <w:rsid w:val="00C90C74"/>
    <w:rsid w:val="00CA0DC0"/>
    <w:rsid w:val="00CA7941"/>
    <w:rsid w:val="00CB276C"/>
    <w:rsid w:val="00CB6B40"/>
    <w:rsid w:val="00CC5CA4"/>
    <w:rsid w:val="00CC606F"/>
    <w:rsid w:val="00CD5A79"/>
    <w:rsid w:val="00CD5E00"/>
    <w:rsid w:val="00CD68EF"/>
    <w:rsid w:val="00CF0697"/>
    <w:rsid w:val="00CF1527"/>
    <w:rsid w:val="00CF602A"/>
    <w:rsid w:val="00D040AB"/>
    <w:rsid w:val="00D04185"/>
    <w:rsid w:val="00D0647B"/>
    <w:rsid w:val="00D10324"/>
    <w:rsid w:val="00D13F6C"/>
    <w:rsid w:val="00D1476F"/>
    <w:rsid w:val="00D14F32"/>
    <w:rsid w:val="00D16772"/>
    <w:rsid w:val="00D2090E"/>
    <w:rsid w:val="00D20F08"/>
    <w:rsid w:val="00D34069"/>
    <w:rsid w:val="00D52D50"/>
    <w:rsid w:val="00D5737D"/>
    <w:rsid w:val="00D66316"/>
    <w:rsid w:val="00D703B1"/>
    <w:rsid w:val="00D70BC6"/>
    <w:rsid w:val="00D71401"/>
    <w:rsid w:val="00D74B51"/>
    <w:rsid w:val="00D77937"/>
    <w:rsid w:val="00D87118"/>
    <w:rsid w:val="00D907E7"/>
    <w:rsid w:val="00D9371A"/>
    <w:rsid w:val="00D93E8E"/>
    <w:rsid w:val="00D95786"/>
    <w:rsid w:val="00D966C1"/>
    <w:rsid w:val="00DA1DAD"/>
    <w:rsid w:val="00DB1B37"/>
    <w:rsid w:val="00DB7256"/>
    <w:rsid w:val="00DC1AA8"/>
    <w:rsid w:val="00DC23B6"/>
    <w:rsid w:val="00DC3E34"/>
    <w:rsid w:val="00DC4F00"/>
    <w:rsid w:val="00DC67A3"/>
    <w:rsid w:val="00DC70D6"/>
    <w:rsid w:val="00DC7ABF"/>
    <w:rsid w:val="00DC7C2B"/>
    <w:rsid w:val="00DD3EB4"/>
    <w:rsid w:val="00DE04C6"/>
    <w:rsid w:val="00DE46E6"/>
    <w:rsid w:val="00DE6C28"/>
    <w:rsid w:val="00DF0FF0"/>
    <w:rsid w:val="00DF3C62"/>
    <w:rsid w:val="00DF63BF"/>
    <w:rsid w:val="00DF76ED"/>
    <w:rsid w:val="00E005C6"/>
    <w:rsid w:val="00E00A95"/>
    <w:rsid w:val="00E052F1"/>
    <w:rsid w:val="00E07CCC"/>
    <w:rsid w:val="00E14364"/>
    <w:rsid w:val="00E15139"/>
    <w:rsid w:val="00E15F2E"/>
    <w:rsid w:val="00E16081"/>
    <w:rsid w:val="00E17988"/>
    <w:rsid w:val="00E2058F"/>
    <w:rsid w:val="00E23836"/>
    <w:rsid w:val="00E23C14"/>
    <w:rsid w:val="00E2679D"/>
    <w:rsid w:val="00E26C35"/>
    <w:rsid w:val="00E33364"/>
    <w:rsid w:val="00E37FCB"/>
    <w:rsid w:val="00E465AE"/>
    <w:rsid w:val="00E54414"/>
    <w:rsid w:val="00E54ACD"/>
    <w:rsid w:val="00E5764A"/>
    <w:rsid w:val="00E5797B"/>
    <w:rsid w:val="00E63ED6"/>
    <w:rsid w:val="00E65932"/>
    <w:rsid w:val="00E74404"/>
    <w:rsid w:val="00E74A77"/>
    <w:rsid w:val="00E77232"/>
    <w:rsid w:val="00E82799"/>
    <w:rsid w:val="00E82F97"/>
    <w:rsid w:val="00E83ED2"/>
    <w:rsid w:val="00E843F5"/>
    <w:rsid w:val="00EA0870"/>
    <w:rsid w:val="00EA10BD"/>
    <w:rsid w:val="00EA4F21"/>
    <w:rsid w:val="00EA6A60"/>
    <w:rsid w:val="00EB00B8"/>
    <w:rsid w:val="00EB5D7D"/>
    <w:rsid w:val="00EC22A8"/>
    <w:rsid w:val="00EC6CD1"/>
    <w:rsid w:val="00EC73F2"/>
    <w:rsid w:val="00ED04FA"/>
    <w:rsid w:val="00ED3D3F"/>
    <w:rsid w:val="00ED4760"/>
    <w:rsid w:val="00EE2592"/>
    <w:rsid w:val="00EE3A39"/>
    <w:rsid w:val="00EE7DB7"/>
    <w:rsid w:val="00EF6733"/>
    <w:rsid w:val="00F03260"/>
    <w:rsid w:val="00F0667B"/>
    <w:rsid w:val="00F1109B"/>
    <w:rsid w:val="00F23267"/>
    <w:rsid w:val="00F364FF"/>
    <w:rsid w:val="00F46072"/>
    <w:rsid w:val="00F4625F"/>
    <w:rsid w:val="00F53750"/>
    <w:rsid w:val="00F55C3A"/>
    <w:rsid w:val="00F57323"/>
    <w:rsid w:val="00F67675"/>
    <w:rsid w:val="00F70DDE"/>
    <w:rsid w:val="00F71510"/>
    <w:rsid w:val="00F71D98"/>
    <w:rsid w:val="00F7554B"/>
    <w:rsid w:val="00F832F2"/>
    <w:rsid w:val="00F92B2F"/>
    <w:rsid w:val="00F93963"/>
    <w:rsid w:val="00FA3D6F"/>
    <w:rsid w:val="00FA5857"/>
    <w:rsid w:val="00FB101F"/>
    <w:rsid w:val="00FB613E"/>
    <w:rsid w:val="00FC124A"/>
    <w:rsid w:val="00FC2CEF"/>
    <w:rsid w:val="00FC34AF"/>
    <w:rsid w:val="00FC49DE"/>
    <w:rsid w:val="00FC4BCE"/>
    <w:rsid w:val="00FC4DD3"/>
    <w:rsid w:val="00FC6A9D"/>
    <w:rsid w:val="00FD0994"/>
    <w:rsid w:val="00FD54AD"/>
    <w:rsid w:val="00FE1D39"/>
    <w:rsid w:val="00FE6597"/>
    <w:rsid w:val="00FF07AB"/>
    <w:rsid w:val="00FF298D"/>
    <w:rsid w:val="00FF6908"/>
    <w:rsid w:val="00FF69E6"/>
    <w:rsid w:val="00FF7D8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ACB14"/>
  <w15:docId w15:val="{165F556E-1EDA-47A2-8CBC-182FA5758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spacing w:before="240" w:after="60"/>
      <w:outlineLvl w:val="0"/>
    </w:pPr>
    <w:rPr>
      <w:rFonts w:ascii="Arial" w:eastAsia="Arial" w:hAnsi="Arial" w:cs="Arial"/>
      <w:b/>
      <w:sz w:val="32"/>
      <w:szCs w:val="32"/>
    </w:rPr>
  </w:style>
  <w:style w:type="paragraph" w:styleId="Titolo2">
    <w:name w:val="heading 2"/>
    <w:basedOn w:val="Normale"/>
    <w:next w:val="Normale"/>
    <w:uiPriority w:val="9"/>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customStyle="1" w:styleId="TitoloComStampa">
    <w:name w:val="Titolo Com Stampa"/>
    <w:autoRedefine/>
    <w:rsid w:val="0055015F"/>
    <w:pPr>
      <w:jc w:val="center"/>
    </w:pPr>
    <w:rPr>
      <w:color w:val="000080"/>
      <w:sz w:val="40"/>
    </w:rPr>
  </w:style>
  <w:style w:type="paragraph" w:customStyle="1" w:styleId="TitoloPrinc">
    <w:name w:val="TitoloPrinc"/>
    <w:autoRedefine/>
    <w:rsid w:val="0055015F"/>
    <w:pPr>
      <w:jc w:val="center"/>
    </w:pPr>
    <w:rPr>
      <w:rFonts w:ascii="Tahoma" w:hAnsi="Tahoma"/>
      <w:b/>
      <w:sz w:val="28"/>
    </w:rPr>
  </w:style>
  <w:style w:type="paragraph" w:styleId="Testofumetto">
    <w:name w:val="Balloon Text"/>
    <w:semiHidden/>
    <w:rsid w:val="006E0A68"/>
    <w:rPr>
      <w:rFonts w:ascii="Tahoma" w:hAnsi="Tahoma" w:cs="Tahoma"/>
      <w:sz w:val="16"/>
      <w:szCs w:val="16"/>
    </w:rPr>
  </w:style>
  <w:style w:type="paragraph" w:styleId="Intestazione">
    <w:name w:val="header"/>
    <w:link w:val="IntestazioneCarattere"/>
    <w:uiPriority w:val="99"/>
    <w:rsid w:val="00905295"/>
    <w:pPr>
      <w:tabs>
        <w:tab w:val="center" w:pos="4819"/>
        <w:tab w:val="right" w:pos="9638"/>
      </w:tabs>
    </w:pPr>
  </w:style>
  <w:style w:type="paragraph" w:styleId="Pidipagina">
    <w:name w:val="footer"/>
    <w:link w:val="PidipaginaCarattere"/>
    <w:uiPriority w:val="99"/>
    <w:rsid w:val="00905295"/>
    <w:pPr>
      <w:tabs>
        <w:tab w:val="center" w:pos="4819"/>
        <w:tab w:val="right" w:pos="9638"/>
      </w:tabs>
    </w:pPr>
  </w:style>
  <w:style w:type="character" w:styleId="Numeropagina">
    <w:name w:val="page number"/>
    <w:basedOn w:val="Carpredefinitoparagrafo"/>
    <w:rsid w:val="003D3273"/>
  </w:style>
  <w:style w:type="table" w:styleId="Grigliatabella">
    <w:name w:val="Table Grid"/>
    <w:basedOn w:val="Tabellanormale"/>
    <w:uiPriority w:val="59"/>
    <w:rsid w:val="003720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37206F"/>
    <w:rPr>
      <w:color w:val="0000FF"/>
      <w:u w:val="single"/>
    </w:rPr>
  </w:style>
  <w:style w:type="character" w:customStyle="1" w:styleId="IntestazioneCarattere">
    <w:name w:val="Intestazione Carattere"/>
    <w:link w:val="Intestazione"/>
    <w:uiPriority w:val="99"/>
    <w:rsid w:val="00AD2F6D"/>
    <w:rPr>
      <w:sz w:val="24"/>
      <w:szCs w:val="24"/>
    </w:rPr>
  </w:style>
  <w:style w:type="character" w:customStyle="1" w:styleId="PidipaginaCarattere">
    <w:name w:val="Piè di pagina Carattere"/>
    <w:basedOn w:val="Carpredefinitoparagrafo"/>
    <w:link w:val="Pidipagina"/>
    <w:uiPriority w:val="99"/>
    <w:rsid w:val="00FF65A0"/>
    <w:rPr>
      <w:sz w:val="24"/>
      <w:szCs w:val="24"/>
    </w:rPr>
  </w:style>
  <w:style w:type="character" w:styleId="Menzionenonrisolta">
    <w:name w:val="Unresolved Mention"/>
    <w:basedOn w:val="Carpredefinitoparagrafo"/>
    <w:uiPriority w:val="99"/>
    <w:semiHidden/>
    <w:unhideWhenUsed/>
    <w:rsid w:val="00791185"/>
    <w:rPr>
      <w:color w:val="605E5C"/>
      <w:shd w:val="clear" w:color="auto" w:fill="E1DFDD"/>
    </w:rPr>
  </w:style>
  <w:style w:type="paragraph" w:styleId="Paragrafoelenco">
    <w:name w:val="List Paragraph"/>
    <w:uiPriority w:val="34"/>
    <w:qFormat/>
    <w:rsid w:val="00791185"/>
    <w:pPr>
      <w:spacing w:after="200" w:line="276" w:lineRule="auto"/>
      <w:ind w:left="720"/>
    </w:pPr>
    <w:rPr>
      <w:rFonts w:ascii="Calibri" w:eastAsia="Calibri" w:hAnsi="Calibri"/>
      <w:sz w:val="22"/>
    </w:r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08" w:type="dxa"/>
        <w:right w:w="108" w:type="dxa"/>
      </w:tblCellMar>
    </w:tbl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left w:w="108" w:type="dxa"/>
        <w:right w:w="108" w:type="dxa"/>
      </w:tblCellMar>
    </w:tbl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left w:w="108" w:type="dxa"/>
        <w:right w:w="108" w:type="dxa"/>
      </w:tblCellMar>
    </w:tblPr>
  </w:style>
  <w:style w:type="table" w:customStyle="1" w:styleId="a8">
    <w:basedOn w:val="TableNormal4"/>
    <w:tblPr>
      <w:tblStyleRowBandSize w:val="1"/>
      <w:tblStyleColBandSize w:val="1"/>
      <w:tblCellMar>
        <w:left w:w="108" w:type="dxa"/>
        <w:right w:w="108" w:type="dxa"/>
      </w:tblCellMar>
    </w:tblPr>
  </w:style>
  <w:style w:type="table" w:customStyle="1" w:styleId="a9">
    <w:basedOn w:val="TableNormal4"/>
    <w:tblPr>
      <w:tblStyleRowBandSize w:val="1"/>
      <w:tblStyleColBandSize w:val="1"/>
      <w:tblCellMar>
        <w:left w:w="108" w:type="dxa"/>
        <w:right w:w="108" w:type="dxa"/>
      </w:tblCellMar>
    </w:tblPr>
  </w:style>
  <w:style w:type="table" w:customStyle="1" w:styleId="aa">
    <w:basedOn w:val="TableNormal4"/>
    <w:tblPr>
      <w:tblStyleRowBandSize w:val="1"/>
      <w:tblStyleColBandSize w:val="1"/>
      <w:tblCellMar>
        <w:left w:w="108" w:type="dxa"/>
        <w:right w:w="108" w:type="dxa"/>
      </w:tblCellMar>
    </w:tblPr>
  </w:style>
  <w:style w:type="table" w:customStyle="1" w:styleId="ab">
    <w:basedOn w:val="TableNormal4"/>
    <w:tblPr>
      <w:tblStyleRowBandSize w:val="1"/>
      <w:tblStyleColBandSize w:val="1"/>
      <w:tblCellMar>
        <w:left w:w="108" w:type="dxa"/>
        <w:right w:w="108" w:type="dxa"/>
      </w:tblCellMar>
    </w:tblPr>
  </w:style>
  <w:style w:type="table" w:customStyle="1" w:styleId="ac">
    <w:basedOn w:val="TableNormal4"/>
    <w:tblPr>
      <w:tblStyleRowBandSize w:val="1"/>
      <w:tblStyleColBandSize w:val="1"/>
      <w:tblCellMar>
        <w:left w:w="108" w:type="dxa"/>
        <w:right w:w="108" w:type="dxa"/>
      </w:tblCellMar>
    </w:tblPr>
  </w:style>
  <w:style w:type="table" w:customStyle="1" w:styleId="ad">
    <w:basedOn w:val="TableNormal4"/>
    <w:tblPr>
      <w:tblStyleRowBandSize w:val="1"/>
      <w:tblStyleColBandSize w:val="1"/>
      <w:tblCellMar>
        <w:left w:w="108" w:type="dxa"/>
        <w:right w:w="108" w:type="dxa"/>
      </w:tblCellMar>
    </w:tblPr>
  </w:style>
  <w:style w:type="table" w:customStyle="1" w:styleId="ae">
    <w:basedOn w:val="TableNormal4"/>
    <w:tblPr>
      <w:tblStyleRowBandSize w:val="1"/>
      <w:tblStyleColBandSize w:val="1"/>
      <w:tblCellMar>
        <w:left w:w="108" w:type="dxa"/>
        <w:right w:w="108" w:type="dxa"/>
      </w:tblCellMar>
    </w:tblPr>
  </w:style>
  <w:style w:type="table" w:customStyle="1" w:styleId="af">
    <w:basedOn w:val="TableNormal4"/>
    <w:tblPr>
      <w:tblStyleRowBandSize w:val="1"/>
      <w:tblStyleColBandSize w:val="1"/>
      <w:tblCellMar>
        <w:left w:w="108" w:type="dxa"/>
        <w:right w:w="108" w:type="dxa"/>
      </w:tblCellMar>
    </w:tblPr>
  </w:style>
  <w:style w:type="table" w:customStyle="1" w:styleId="af0">
    <w:basedOn w:val="TableNormal4"/>
    <w:tblPr>
      <w:tblStyleRowBandSize w:val="1"/>
      <w:tblStyleColBandSize w:val="1"/>
      <w:tblCellMar>
        <w:left w:w="108" w:type="dxa"/>
        <w:right w:w="108" w:type="dxa"/>
      </w:tblCellMar>
    </w:tblPr>
  </w:style>
  <w:style w:type="table" w:customStyle="1" w:styleId="af1">
    <w:basedOn w:val="TableNormal3"/>
    <w:tblPr>
      <w:tblStyleRowBandSize w:val="1"/>
      <w:tblStyleColBandSize w:val="1"/>
      <w:tblCellMar>
        <w:left w:w="108" w:type="dxa"/>
        <w:right w:w="108" w:type="dxa"/>
      </w:tblCellMar>
    </w:tblPr>
  </w:style>
  <w:style w:type="table" w:customStyle="1" w:styleId="af2">
    <w:basedOn w:val="TableNormal3"/>
    <w:tblPr>
      <w:tblStyleRowBandSize w:val="1"/>
      <w:tblStyleColBandSize w:val="1"/>
      <w:tblCellMar>
        <w:left w:w="108" w:type="dxa"/>
        <w:right w:w="108" w:type="dxa"/>
      </w:tblCellMar>
    </w:tblPr>
  </w:style>
  <w:style w:type="table" w:customStyle="1" w:styleId="af3">
    <w:basedOn w:val="TableNormal3"/>
    <w:tblPr>
      <w:tblStyleRowBandSize w:val="1"/>
      <w:tblStyleColBandSize w:val="1"/>
      <w:tblCellMar>
        <w:left w:w="108" w:type="dxa"/>
        <w:right w:w="108" w:type="dxa"/>
      </w:tblCellMar>
    </w:tblPr>
  </w:style>
  <w:style w:type="table" w:customStyle="1" w:styleId="af4">
    <w:basedOn w:val="TableNormal3"/>
    <w:tblPr>
      <w:tblStyleRowBandSize w:val="1"/>
      <w:tblStyleColBandSize w:val="1"/>
      <w:tblCellMar>
        <w:left w:w="108" w:type="dxa"/>
        <w:right w:w="108" w:type="dxa"/>
      </w:tblCellMar>
    </w:tblPr>
  </w:style>
  <w:style w:type="table" w:customStyle="1" w:styleId="af5">
    <w:basedOn w:val="TableNormal3"/>
    <w:tblPr>
      <w:tblStyleRowBandSize w:val="1"/>
      <w:tblStyleColBandSize w:val="1"/>
      <w:tblCellMar>
        <w:left w:w="108" w:type="dxa"/>
        <w:right w:w="108" w:type="dxa"/>
      </w:tblCellMar>
    </w:tblPr>
  </w:style>
  <w:style w:type="table" w:customStyle="1" w:styleId="af6">
    <w:basedOn w:val="TableNormal3"/>
    <w:tblPr>
      <w:tblStyleRowBandSize w:val="1"/>
      <w:tblStyleColBandSize w:val="1"/>
      <w:tblCellMar>
        <w:left w:w="108" w:type="dxa"/>
        <w:right w:w="108" w:type="dxa"/>
      </w:tblCellMar>
    </w:tblPr>
  </w:style>
  <w:style w:type="table" w:customStyle="1" w:styleId="af7">
    <w:basedOn w:val="TableNormal3"/>
    <w:tblPr>
      <w:tblStyleRowBandSize w:val="1"/>
      <w:tblStyleColBandSize w:val="1"/>
      <w:tblCellMar>
        <w:left w:w="108" w:type="dxa"/>
        <w:right w:w="108" w:type="dxa"/>
      </w:tblCellMar>
    </w:tblPr>
  </w:style>
  <w:style w:type="table" w:customStyle="1" w:styleId="af8">
    <w:basedOn w:val="TableNormal3"/>
    <w:tblPr>
      <w:tblStyleRowBandSize w:val="1"/>
      <w:tblStyleColBandSize w:val="1"/>
      <w:tblCellMar>
        <w:left w:w="108" w:type="dxa"/>
        <w:right w:w="108" w:type="dxa"/>
      </w:tblCellMar>
    </w:tblPr>
  </w:style>
  <w:style w:type="table" w:customStyle="1" w:styleId="af9">
    <w:basedOn w:val="TableNormal3"/>
    <w:tblPr>
      <w:tblStyleRowBandSize w:val="1"/>
      <w:tblStyleColBandSize w:val="1"/>
      <w:tblCellMar>
        <w:left w:w="108" w:type="dxa"/>
        <w:right w:w="108" w:type="dxa"/>
      </w:tblCellMar>
    </w:tblPr>
  </w:style>
  <w:style w:type="table" w:customStyle="1" w:styleId="afa">
    <w:basedOn w:val="TableNormal2"/>
    <w:tblPr>
      <w:tblStyleRowBandSize w:val="1"/>
      <w:tblStyleColBandSize w:val="1"/>
      <w:tblCellMar>
        <w:left w:w="108" w:type="dxa"/>
        <w:right w:w="108" w:type="dxa"/>
      </w:tblCellMar>
    </w:tblPr>
  </w:style>
  <w:style w:type="table" w:customStyle="1" w:styleId="afb">
    <w:basedOn w:val="TableNormal2"/>
    <w:tblPr>
      <w:tblStyleRowBandSize w:val="1"/>
      <w:tblStyleColBandSize w:val="1"/>
      <w:tblCellMar>
        <w:left w:w="108" w:type="dxa"/>
        <w:right w:w="108" w:type="dxa"/>
      </w:tblCellMar>
    </w:tblPr>
  </w:style>
  <w:style w:type="table" w:customStyle="1" w:styleId="afc">
    <w:basedOn w:val="TableNormal2"/>
    <w:tblPr>
      <w:tblStyleRowBandSize w:val="1"/>
      <w:tblStyleColBandSize w:val="1"/>
      <w:tblCellMar>
        <w:left w:w="108" w:type="dxa"/>
        <w:right w:w="108" w:type="dxa"/>
      </w:tblCellMar>
    </w:tblPr>
  </w:style>
  <w:style w:type="table" w:customStyle="1" w:styleId="afd">
    <w:basedOn w:val="TableNormal2"/>
    <w:tblPr>
      <w:tblStyleRowBandSize w:val="1"/>
      <w:tblStyleColBandSize w:val="1"/>
      <w:tblCellMar>
        <w:left w:w="108" w:type="dxa"/>
        <w:right w:w="108" w:type="dxa"/>
      </w:tblCellMar>
    </w:tblPr>
  </w:style>
  <w:style w:type="table" w:customStyle="1" w:styleId="afe">
    <w:basedOn w:val="TableNormal2"/>
    <w:tblPr>
      <w:tblStyleRowBandSize w:val="1"/>
      <w:tblStyleColBandSize w:val="1"/>
      <w:tblCellMar>
        <w:left w:w="108" w:type="dxa"/>
        <w:right w:w="108" w:type="dxa"/>
      </w:tblCellMar>
    </w:tblPr>
  </w:style>
  <w:style w:type="table" w:customStyle="1" w:styleId="aff">
    <w:basedOn w:val="TableNormal2"/>
    <w:tblPr>
      <w:tblStyleRowBandSize w:val="1"/>
      <w:tblStyleColBandSize w:val="1"/>
      <w:tblCellMar>
        <w:left w:w="108" w:type="dxa"/>
        <w:right w:w="108" w:type="dxa"/>
      </w:tblCellMar>
    </w:tblPr>
  </w:style>
  <w:style w:type="table" w:customStyle="1" w:styleId="aff0">
    <w:basedOn w:val="TableNormal2"/>
    <w:tblPr>
      <w:tblStyleRowBandSize w:val="1"/>
      <w:tblStyleColBandSize w:val="1"/>
      <w:tblCellMar>
        <w:left w:w="108" w:type="dxa"/>
        <w:right w:w="108" w:type="dxa"/>
      </w:tblCellMar>
    </w:tblPr>
  </w:style>
  <w:style w:type="table" w:customStyle="1" w:styleId="aff1">
    <w:basedOn w:val="TableNormal2"/>
    <w:tblPr>
      <w:tblStyleRowBandSize w:val="1"/>
      <w:tblStyleColBandSize w:val="1"/>
      <w:tblCellMar>
        <w:left w:w="108" w:type="dxa"/>
        <w:right w:w="108" w:type="dxa"/>
      </w:tblCellMar>
    </w:tblPr>
  </w:style>
  <w:style w:type="table" w:customStyle="1" w:styleId="aff2">
    <w:basedOn w:val="TableNormal2"/>
    <w:tblPr>
      <w:tblStyleRowBandSize w:val="1"/>
      <w:tblStyleColBandSize w:val="1"/>
      <w:tblCellMar>
        <w:left w:w="108" w:type="dxa"/>
        <w:right w:w="108" w:type="dxa"/>
      </w:tblCellMar>
    </w:tblPr>
  </w:style>
  <w:style w:type="table" w:customStyle="1" w:styleId="aff3">
    <w:basedOn w:val="TableNormal1"/>
    <w:tblPr>
      <w:tblStyleRowBandSize w:val="1"/>
      <w:tblStyleColBandSize w:val="1"/>
      <w:tblCellMar>
        <w:left w:w="108" w:type="dxa"/>
        <w:right w:w="108" w:type="dxa"/>
      </w:tblCellMar>
    </w:tblPr>
  </w:style>
  <w:style w:type="table" w:customStyle="1" w:styleId="aff4">
    <w:basedOn w:val="TableNormal1"/>
    <w:tblPr>
      <w:tblStyleRowBandSize w:val="1"/>
      <w:tblStyleColBandSize w:val="1"/>
      <w:tblCellMar>
        <w:left w:w="108" w:type="dxa"/>
        <w:right w:w="108" w:type="dxa"/>
      </w:tblCellMar>
    </w:tblPr>
  </w:style>
  <w:style w:type="table" w:customStyle="1" w:styleId="aff5">
    <w:basedOn w:val="TableNormal1"/>
    <w:tblPr>
      <w:tblStyleRowBandSize w:val="1"/>
      <w:tblStyleColBandSize w:val="1"/>
      <w:tblCellMar>
        <w:left w:w="108" w:type="dxa"/>
        <w:right w:w="108" w:type="dxa"/>
      </w:tblCellMar>
    </w:tblPr>
  </w:style>
  <w:style w:type="table" w:customStyle="1" w:styleId="aff6">
    <w:basedOn w:val="TableNormal1"/>
    <w:tblPr>
      <w:tblStyleRowBandSize w:val="1"/>
      <w:tblStyleColBandSize w:val="1"/>
      <w:tblCellMar>
        <w:left w:w="108" w:type="dxa"/>
        <w:right w:w="108" w:type="dxa"/>
      </w:tblCellMar>
    </w:tblPr>
  </w:style>
  <w:style w:type="table" w:customStyle="1" w:styleId="aff7">
    <w:basedOn w:val="TableNormal1"/>
    <w:tblPr>
      <w:tblStyleRowBandSize w:val="1"/>
      <w:tblStyleColBandSize w:val="1"/>
      <w:tblCellMar>
        <w:left w:w="108" w:type="dxa"/>
        <w:right w:w="108" w:type="dxa"/>
      </w:tblCellMar>
    </w:tblPr>
  </w:style>
  <w:style w:type="table" w:customStyle="1" w:styleId="aff8">
    <w:basedOn w:val="TableNormal1"/>
    <w:tblPr>
      <w:tblStyleRowBandSize w:val="1"/>
      <w:tblStyleColBandSize w:val="1"/>
      <w:tblCellMar>
        <w:left w:w="108" w:type="dxa"/>
        <w:right w:w="108" w:type="dxa"/>
      </w:tblCellMar>
    </w:tblPr>
  </w:style>
  <w:style w:type="table" w:customStyle="1" w:styleId="aff9">
    <w:basedOn w:val="TableNormal1"/>
    <w:tblPr>
      <w:tblStyleRowBandSize w:val="1"/>
      <w:tblStyleColBandSize w:val="1"/>
      <w:tblCellMar>
        <w:left w:w="108" w:type="dxa"/>
        <w:right w:w="108" w:type="dxa"/>
      </w:tblCellMar>
    </w:tblPr>
  </w:style>
  <w:style w:type="table" w:customStyle="1" w:styleId="affa">
    <w:basedOn w:val="TableNormal1"/>
    <w:tblPr>
      <w:tblStyleRowBandSize w:val="1"/>
      <w:tblStyleColBandSize w:val="1"/>
      <w:tblCellMar>
        <w:left w:w="108" w:type="dxa"/>
        <w:right w:w="108" w:type="dxa"/>
      </w:tblCellMar>
    </w:tblPr>
  </w:style>
  <w:style w:type="table" w:customStyle="1" w:styleId="affb">
    <w:basedOn w:val="TableNormal1"/>
    <w:tblPr>
      <w:tblStyleRowBandSize w:val="1"/>
      <w:tblStyleColBandSize w:val="1"/>
      <w:tblCellMar>
        <w:left w:w="108" w:type="dxa"/>
        <w:right w:w="108"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ffc">
    <w:basedOn w:val="TableNormal0"/>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left w:w="108" w:type="dxa"/>
        <w:right w:w="108" w:type="dxa"/>
      </w:tblCellMar>
    </w:tblPr>
  </w:style>
  <w:style w:type="table" w:customStyle="1" w:styleId="afff0">
    <w:basedOn w:val="TableNormal0"/>
    <w:tblPr>
      <w:tblStyleRowBandSize w:val="1"/>
      <w:tblStyleColBandSize w:val="1"/>
      <w:tblCellMar>
        <w:left w:w="108" w:type="dxa"/>
        <w:right w:w="108" w:type="dxa"/>
      </w:tblCellMar>
    </w:tblPr>
  </w:style>
  <w:style w:type="table" w:customStyle="1" w:styleId="afff1">
    <w:basedOn w:val="TableNormal0"/>
    <w:tblPr>
      <w:tblStyleRowBandSize w:val="1"/>
      <w:tblStyleColBandSize w:val="1"/>
      <w:tblCellMar>
        <w:left w:w="108" w:type="dxa"/>
        <w:right w:w="108" w:type="dxa"/>
      </w:tblCellMar>
    </w:tblPr>
  </w:style>
  <w:style w:type="table" w:customStyle="1" w:styleId="afff2">
    <w:basedOn w:val="TableNormal0"/>
    <w:tblPr>
      <w:tblStyleRowBandSize w:val="1"/>
      <w:tblStyleColBandSize w:val="1"/>
      <w:tblCellMar>
        <w:left w:w="108" w:type="dxa"/>
        <w:right w:w="108" w:type="dxa"/>
      </w:tblCellMar>
    </w:tblPr>
  </w:style>
  <w:style w:type="table" w:customStyle="1" w:styleId="afff3">
    <w:basedOn w:val="TableNormal0"/>
    <w:tblPr>
      <w:tblStyleRowBandSize w:val="1"/>
      <w:tblStyleColBandSize w:val="1"/>
      <w:tblCellMar>
        <w:left w:w="108" w:type="dxa"/>
        <w:right w:w="108" w:type="dxa"/>
      </w:tblCellMar>
    </w:tblPr>
  </w:style>
  <w:style w:type="table" w:customStyle="1" w:styleId="afff4">
    <w:basedOn w:val="TableNormal0"/>
    <w:tblPr>
      <w:tblStyleRowBandSize w:val="1"/>
      <w:tblStyleColBandSize w:val="1"/>
      <w:tblCellMar>
        <w:left w:w="108" w:type="dxa"/>
        <w:right w:w="108" w:type="dxa"/>
      </w:tblCellMar>
    </w:tblPr>
  </w:style>
  <w:style w:type="paragraph" w:styleId="Testonotaapidipagina">
    <w:name w:val="footnote text"/>
    <w:basedOn w:val="Normale"/>
    <w:link w:val="TestonotaapidipaginaCarattere"/>
    <w:uiPriority w:val="99"/>
    <w:semiHidden/>
    <w:unhideWhenUsed/>
    <w:rsid w:val="00750E48"/>
    <w:rPr>
      <w:sz w:val="20"/>
      <w:szCs w:val="20"/>
    </w:rPr>
  </w:style>
  <w:style w:type="character" w:customStyle="1" w:styleId="TestonotaapidipaginaCarattere">
    <w:name w:val="Testo nota a piè di pagina Carattere"/>
    <w:basedOn w:val="Carpredefinitoparagrafo"/>
    <w:link w:val="Testonotaapidipagina"/>
    <w:uiPriority w:val="99"/>
    <w:semiHidden/>
    <w:rsid w:val="00750E48"/>
    <w:rPr>
      <w:sz w:val="20"/>
      <w:szCs w:val="20"/>
    </w:rPr>
  </w:style>
  <w:style w:type="character" w:styleId="Rimandonotaapidipagina">
    <w:name w:val="footnote reference"/>
    <w:basedOn w:val="Carpredefinitoparagrafo"/>
    <w:uiPriority w:val="99"/>
    <w:semiHidden/>
    <w:unhideWhenUsed/>
    <w:rsid w:val="00750E4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3604587">
      <w:bodyDiv w:val="1"/>
      <w:marLeft w:val="0"/>
      <w:marRight w:val="0"/>
      <w:marTop w:val="0"/>
      <w:marBottom w:val="0"/>
      <w:divBdr>
        <w:top w:val="none" w:sz="0" w:space="0" w:color="auto"/>
        <w:left w:val="none" w:sz="0" w:space="0" w:color="auto"/>
        <w:bottom w:val="none" w:sz="0" w:space="0" w:color="auto"/>
        <w:right w:val="none" w:sz="0" w:space="0" w:color="auto"/>
      </w:divBdr>
    </w:div>
    <w:div w:id="1895921178">
      <w:bodyDiv w:val="1"/>
      <w:marLeft w:val="0"/>
      <w:marRight w:val="0"/>
      <w:marTop w:val="0"/>
      <w:marBottom w:val="0"/>
      <w:divBdr>
        <w:top w:val="none" w:sz="0" w:space="0" w:color="auto"/>
        <w:left w:val="none" w:sz="0" w:space="0" w:color="auto"/>
        <w:bottom w:val="none" w:sz="0" w:space="0" w:color="auto"/>
        <w:right w:val="none" w:sz="0" w:space="0" w:color="auto"/>
      </w:divBdr>
    </w:div>
    <w:div w:id="2129662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mailto:unione@ven.camcom.it"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silvia.trevisan@tb.camcom.it"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tatistica@tb.camcom.it" TargetMode="External"/><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2.emf"/><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1.emf"/><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pv+0OnVvj9lXn2A2Likiln2nSg==">CgMxLjAyDmguOG43cnI2aDZ0bXNiMg5oLnRzc2hzdm5rd211MTgAciExdXlQMnIzaWlrVGJ4TmhKN01hY0ZjM0xnbkpFZUs4c3g=</go:docsCustomData>
</go:gDocsCustomXmlDataStorage>
</file>

<file path=customXml/itemProps1.xml><?xml version="1.0" encoding="utf-8"?>
<ds:datastoreItem xmlns:ds="http://schemas.openxmlformats.org/officeDocument/2006/customXml" ds:itemID="{E0794C2D-C8E2-4950-AB6A-17015EAC76A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20</Pages>
  <Words>6456</Words>
  <Characters>36802</Characters>
  <Application>Microsoft Office Word</Application>
  <DocSecurity>0</DocSecurity>
  <Lines>306</Lines>
  <Paragraphs>86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Ilenia Beghin</dc:creator>
  <cp:lastModifiedBy>Ilenia Beghin</cp:lastModifiedBy>
  <cp:revision>44</cp:revision>
  <cp:lastPrinted>2026-02-11T10:46:00Z</cp:lastPrinted>
  <dcterms:created xsi:type="dcterms:W3CDTF">2026-02-16T11:31:00Z</dcterms:created>
  <dcterms:modified xsi:type="dcterms:W3CDTF">2026-02-19T13:10:00Z</dcterms:modified>
</cp:coreProperties>
</file>